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A7" w:rsidRPr="00BC3EBD" w:rsidRDefault="00B233A7" w:rsidP="00634A91">
      <w:pPr>
        <w:tabs>
          <w:tab w:val="left" w:pos="709"/>
        </w:tabs>
        <w:jc w:val="center"/>
        <w:rPr>
          <w:b/>
          <w:bCs/>
          <w:sz w:val="28"/>
          <w:szCs w:val="28"/>
        </w:rPr>
      </w:pPr>
      <w:bookmarkStart w:id="0" w:name="_GoBack"/>
      <w:bookmarkEnd w:id="0"/>
      <w:r w:rsidRPr="00BC3EBD">
        <w:rPr>
          <w:b/>
          <w:sz w:val="28"/>
          <w:szCs w:val="28"/>
        </w:rPr>
        <w:t>Ministru kabineta noteikumu projekta</w:t>
      </w:r>
      <w:bookmarkStart w:id="1" w:name="OLE_LINK1"/>
      <w:bookmarkStart w:id="2" w:name="OLE_LINK2"/>
      <w:r w:rsidRPr="00BC3EBD">
        <w:rPr>
          <w:b/>
          <w:sz w:val="28"/>
          <w:szCs w:val="28"/>
        </w:rPr>
        <w:t xml:space="preserve"> „Gr</w:t>
      </w:r>
      <w:r w:rsidR="00114BE0">
        <w:rPr>
          <w:b/>
          <w:sz w:val="28"/>
          <w:szCs w:val="28"/>
        </w:rPr>
        <w:t>ozījumi Ministru kabineta 2007.gada 13.</w:t>
      </w:r>
      <w:r w:rsidRPr="00BC3EBD">
        <w:rPr>
          <w:b/>
          <w:sz w:val="28"/>
          <w:szCs w:val="28"/>
        </w:rPr>
        <w:t xml:space="preserve">februāra noteikumos Nr.105 </w:t>
      </w:r>
      <w:r w:rsidR="008809E1" w:rsidRPr="00BC3EBD">
        <w:rPr>
          <w:b/>
          <w:sz w:val="28"/>
          <w:szCs w:val="28"/>
        </w:rPr>
        <w:t>„</w:t>
      </w:r>
      <w:r w:rsidRPr="00BC3EBD">
        <w:rPr>
          <w:rStyle w:val="FontStyle20"/>
          <w:rFonts w:ascii="Times New Roman" w:hAnsi="Times New Roman" w:cs="Times New Roman"/>
          <w:sz w:val="28"/>
          <w:szCs w:val="28"/>
        </w:rPr>
        <w:t>Kārtība, kādā interaktīvo azartspēļu un izložu organizētājs iesniedz paziņojumu par pārskata</w:t>
      </w:r>
      <w:r w:rsidR="00634A91">
        <w:rPr>
          <w:rStyle w:val="FontStyle20"/>
          <w:rFonts w:ascii="Times New Roman" w:hAnsi="Times New Roman" w:cs="Times New Roman"/>
          <w:sz w:val="28"/>
          <w:szCs w:val="28"/>
        </w:rPr>
        <w:t xml:space="preserve"> </w:t>
      </w:r>
      <w:r w:rsidRPr="00BC3EBD">
        <w:rPr>
          <w:rStyle w:val="FontStyle20"/>
          <w:rFonts w:ascii="Times New Roman" w:hAnsi="Times New Roman" w:cs="Times New Roman"/>
          <w:sz w:val="28"/>
          <w:szCs w:val="28"/>
        </w:rPr>
        <w:t>ceturksni</w:t>
      </w:r>
      <w:r w:rsidRPr="00BC3EBD">
        <w:rPr>
          <w:b/>
          <w:sz w:val="28"/>
          <w:szCs w:val="28"/>
        </w:rPr>
        <w:t xml:space="preserve">”” </w:t>
      </w:r>
      <w:r w:rsidRPr="00BC3EBD">
        <w:rPr>
          <w:b/>
          <w:bCs/>
          <w:sz w:val="28"/>
          <w:szCs w:val="28"/>
        </w:rPr>
        <w:t>sākotnējās ietekmes novērtējuma ziņojums (anotācija</w:t>
      </w:r>
      <w:bookmarkEnd w:id="1"/>
      <w:bookmarkEnd w:id="2"/>
      <w:r w:rsidRPr="00BC3EBD">
        <w:rPr>
          <w:b/>
          <w:bCs/>
          <w:sz w:val="28"/>
          <w:szCs w:val="28"/>
        </w:rPr>
        <w:t>)</w:t>
      </w:r>
    </w:p>
    <w:p w:rsidR="009F30B3" w:rsidRDefault="009F30B3" w:rsidP="00634A91">
      <w:pPr>
        <w:pStyle w:val="naislab"/>
        <w:spacing w:before="0" w:after="0"/>
        <w:jc w:val="both"/>
        <w:rPr>
          <w:b/>
          <w:sz w:val="16"/>
          <w:szCs w:val="16"/>
        </w:rPr>
      </w:pPr>
    </w:p>
    <w:p w:rsidR="00ED152D" w:rsidRPr="009F30B3" w:rsidRDefault="00ED152D" w:rsidP="006D0922">
      <w:pPr>
        <w:pStyle w:val="naislab"/>
        <w:spacing w:before="0" w:after="0"/>
        <w:jc w:val="center"/>
        <w:rPr>
          <w:b/>
          <w:sz w:val="16"/>
          <w:szCs w:val="16"/>
        </w:rPr>
      </w:pPr>
    </w:p>
    <w:tbl>
      <w:tblPr>
        <w:tblpPr w:leftFromText="180" w:rightFromText="180" w:vertAnchor="text" w:horzAnchor="margin" w:tblpXSpec="center" w:tblpY="149"/>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03"/>
        <w:gridCol w:w="2275"/>
        <w:gridCol w:w="6834"/>
      </w:tblGrid>
      <w:tr w:rsidR="009A0027" w:rsidRPr="00955636" w:rsidTr="00AA038E">
        <w:tc>
          <w:tcPr>
            <w:tcW w:w="9812" w:type="dxa"/>
            <w:gridSpan w:val="3"/>
            <w:vAlign w:val="center"/>
          </w:tcPr>
          <w:p w:rsidR="00852042" w:rsidRPr="004D5680" w:rsidRDefault="00852042" w:rsidP="00097549">
            <w:pPr>
              <w:pStyle w:val="naisnod"/>
              <w:spacing w:before="0" w:after="60"/>
              <w:rPr>
                <w:sz w:val="28"/>
                <w:szCs w:val="28"/>
              </w:rPr>
            </w:pPr>
            <w:r w:rsidRPr="004D5680">
              <w:rPr>
                <w:sz w:val="28"/>
                <w:szCs w:val="28"/>
              </w:rPr>
              <w:t>I</w:t>
            </w:r>
            <w:r w:rsidR="000941C5" w:rsidRPr="004D5680">
              <w:rPr>
                <w:sz w:val="28"/>
                <w:szCs w:val="28"/>
              </w:rPr>
              <w:t>.</w:t>
            </w:r>
            <w:r w:rsidRPr="004D5680">
              <w:rPr>
                <w:sz w:val="28"/>
                <w:szCs w:val="28"/>
              </w:rPr>
              <w:t xml:space="preserve"> Tiesību akta </w:t>
            </w:r>
            <w:r w:rsidR="002E3FF4" w:rsidRPr="004D5680">
              <w:rPr>
                <w:sz w:val="28"/>
                <w:szCs w:val="28"/>
              </w:rPr>
              <w:t xml:space="preserve">projekta </w:t>
            </w:r>
            <w:r w:rsidRPr="004D5680">
              <w:rPr>
                <w:sz w:val="28"/>
                <w:szCs w:val="28"/>
              </w:rPr>
              <w:t>izstrādes nepieciešamība</w:t>
            </w:r>
          </w:p>
        </w:tc>
      </w:tr>
      <w:tr w:rsidR="009A0027" w:rsidRPr="00955636" w:rsidTr="00AA038E">
        <w:trPr>
          <w:trHeight w:val="267"/>
        </w:trPr>
        <w:tc>
          <w:tcPr>
            <w:tcW w:w="703" w:type="dxa"/>
          </w:tcPr>
          <w:p w:rsidR="00262E2B" w:rsidRPr="004D5680" w:rsidRDefault="00262E2B" w:rsidP="006D0922">
            <w:pPr>
              <w:pStyle w:val="naiskr"/>
              <w:spacing w:before="0" w:after="0"/>
              <w:jc w:val="center"/>
              <w:rPr>
                <w:sz w:val="28"/>
                <w:szCs w:val="28"/>
              </w:rPr>
            </w:pPr>
            <w:r w:rsidRPr="004D5680">
              <w:rPr>
                <w:sz w:val="28"/>
                <w:szCs w:val="28"/>
              </w:rPr>
              <w:t>1.</w:t>
            </w:r>
          </w:p>
        </w:tc>
        <w:tc>
          <w:tcPr>
            <w:tcW w:w="2275" w:type="dxa"/>
          </w:tcPr>
          <w:p w:rsidR="00262E2B" w:rsidRPr="004D5680" w:rsidRDefault="002D7F54" w:rsidP="00FB5BAF">
            <w:pPr>
              <w:pStyle w:val="naiskr"/>
              <w:spacing w:before="0" w:after="0"/>
              <w:rPr>
                <w:sz w:val="28"/>
                <w:szCs w:val="28"/>
              </w:rPr>
            </w:pPr>
            <w:r w:rsidRPr="004D5680">
              <w:rPr>
                <w:sz w:val="28"/>
                <w:szCs w:val="28"/>
              </w:rPr>
              <w:t>Pamatojums</w:t>
            </w:r>
          </w:p>
        </w:tc>
        <w:tc>
          <w:tcPr>
            <w:tcW w:w="6834" w:type="dxa"/>
          </w:tcPr>
          <w:p w:rsidR="005C1119" w:rsidRPr="004D5680" w:rsidRDefault="00B233A7" w:rsidP="00B233A7">
            <w:pPr>
              <w:pStyle w:val="naiskr"/>
              <w:spacing w:before="0" w:after="0"/>
              <w:jc w:val="both"/>
              <w:rPr>
                <w:sz w:val="28"/>
                <w:szCs w:val="28"/>
              </w:rPr>
            </w:pPr>
            <w:r w:rsidRPr="004D5680">
              <w:rPr>
                <w:sz w:val="28"/>
                <w:szCs w:val="28"/>
              </w:rPr>
              <w:t>Azartspēļu un izložu likuma 53.panta sestā daļa</w:t>
            </w:r>
          </w:p>
        </w:tc>
      </w:tr>
      <w:tr w:rsidR="009A0027" w:rsidRPr="00955636" w:rsidTr="00AA038E">
        <w:trPr>
          <w:trHeight w:val="472"/>
        </w:trPr>
        <w:tc>
          <w:tcPr>
            <w:tcW w:w="703" w:type="dxa"/>
          </w:tcPr>
          <w:p w:rsidR="00262E2B" w:rsidRPr="004D5680" w:rsidRDefault="00262E2B" w:rsidP="006D0922">
            <w:pPr>
              <w:pStyle w:val="naiskr"/>
              <w:spacing w:before="0" w:after="0"/>
              <w:jc w:val="center"/>
              <w:rPr>
                <w:sz w:val="28"/>
                <w:szCs w:val="28"/>
              </w:rPr>
            </w:pPr>
            <w:r w:rsidRPr="004D5680">
              <w:rPr>
                <w:sz w:val="28"/>
                <w:szCs w:val="28"/>
              </w:rPr>
              <w:t>2.</w:t>
            </w:r>
          </w:p>
        </w:tc>
        <w:tc>
          <w:tcPr>
            <w:tcW w:w="2275" w:type="dxa"/>
          </w:tcPr>
          <w:p w:rsidR="00AA3C78" w:rsidRPr="004D5680" w:rsidRDefault="003A3C61" w:rsidP="00F16CC4">
            <w:pPr>
              <w:pStyle w:val="naiskr"/>
              <w:spacing w:before="0" w:after="0"/>
              <w:rPr>
                <w:sz w:val="28"/>
                <w:szCs w:val="28"/>
              </w:rPr>
            </w:pPr>
            <w:r w:rsidRPr="004D5680">
              <w:rPr>
                <w:sz w:val="28"/>
                <w:szCs w:val="28"/>
              </w:rPr>
              <w:t>Pašreizējā situācija un problēmas, kuru risināšanai tiesību akta projekts izstrādāts, tiesiskā regulējuma mērķis un būtība</w:t>
            </w:r>
          </w:p>
          <w:p w:rsidR="00AA3C78" w:rsidRPr="004D5680" w:rsidRDefault="00AA3C78" w:rsidP="00AA3C78">
            <w:pPr>
              <w:rPr>
                <w:sz w:val="28"/>
                <w:szCs w:val="28"/>
              </w:rPr>
            </w:pPr>
          </w:p>
          <w:p w:rsidR="00AA3C78" w:rsidRPr="004D5680" w:rsidRDefault="00AA3C78" w:rsidP="00AA3C78">
            <w:pPr>
              <w:rPr>
                <w:sz w:val="28"/>
                <w:szCs w:val="28"/>
              </w:rPr>
            </w:pPr>
          </w:p>
          <w:p w:rsidR="00AA3C78" w:rsidRPr="004D5680" w:rsidRDefault="00AA3C78" w:rsidP="00AA3C78">
            <w:pPr>
              <w:rPr>
                <w:sz w:val="28"/>
                <w:szCs w:val="28"/>
              </w:rPr>
            </w:pPr>
          </w:p>
          <w:p w:rsidR="00AA3C78" w:rsidRPr="004D5680" w:rsidRDefault="00AA3C78" w:rsidP="00AA3C78">
            <w:pPr>
              <w:rPr>
                <w:sz w:val="28"/>
                <w:szCs w:val="28"/>
              </w:rPr>
            </w:pPr>
          </w:p>
          <w:p w:rsidR="00AA3C78" w:rsidRPr="004D5680" w:rsidRDefault="00AA3C78" w:rsidP="00AA3C78">
            <w:pPr>
              <w:rPr>
                <w:sz w:val="28"/>
                <w:szCs w:val="28"/>
              </w:rPr>
            </w:pPr>
          </w:p>
          <w:p w:rsidR="00AA3C78" w:rsidRPr="004D5680" w:rsidRDefault="00AA3C78" w:rsidP="00AA3C78">
            <w:pPr>
              <w:rPr>
                <w:sz w:val="28"/>
                <w:szCs w:val="28"/>
              </w:rPr>
            </w:pPr>
          </w:p>
          <w:p w:rsidR="00AA3C78" w:rsidRPr="004D5680" w:rsidRDefault="00AA3C78" w:rsidP="00AA3C78">
            <w:pPr>
              <w:rPr>
                <w:sz w:val="28"/>
                <w:szCs w:val="28"/>
              </w:rPr>
            </w:pPr>
          </w:p>
          <w:p w:rsidR="00AA3C78" w:rsidRPr="004D5680" w:rsidRDefault="00AA3C78" w:rsidP="00AA3C78">
            <w:pPr>
              <w:rPr>
                <w:sz w:val="28"/>
                <w:szCs w:val="28"/>
              </w:rPr>
            </w:pPr>
          </w:p>
          <w:p w:rsidR="00AA3C78" w:rsidRPr="004D5680" w:rsidRDefault="00763550" w:rsidP="00634A91">
            <w:pPr>
              <w:jc w:val="center"/>
              <w:rPr>
                <w:sz w:val="28"/>
                <w:szCs w:val="28"/>
              </w:rPr>
            </w:pPr>
            <w:r w:rsidRPr="004D5680">
              <w:rPr>
                <w:sz w:val="28"/>
                <w:szCs w:val="28"/>
              </w:rPr>
              <w:tab/>
            </w:r>
          </w:p>
          <w:p w:rsidR="00AA3C78" w:rsidRPr="004D5680" w:rsidRDefault="00AA3C78" w:rsidP="00AA3C78">
            <w:pPr>
              <w:rPr>
                <w:sz w:val="28"/>
                <w:szCs w:val="28"/>
              </w:rPr>
            </w:pPr>
          </w:p>
          <w:p w:rsidR="00AA3C78" w:rsidRPr="004D5680" w:rsidRDefault="00AA3C78" w:rsidP="00AA3C78">
            <w:pPr>
              <w:rPr>
                <w:sz w:val="28"/>
                <w:szCs w:val="28"/>
              </w:rPr>
            </w:pPr>
          </w:p>
          <w:p w:rsidR="00262E2B" w:rsidRPr="004D5680" w:rsidRDefault="00262E2B" w:rsidP="00AA3C78">
            <w:pPr>
              <w:jc w:val="right"/>
              <w:rPr>
                <w:sz w:val="28"/>
                <w:szCs w:val="28"/>
              </w:rPr>
            </w:pPr>
          </w:p>
        </w:tc>
        <w:tc>
          <w:tcPr>
            <w:tcW w:w="6834" w:type="dxa"/>
          </w:tcPr>
          <w:p w:rsidR="00FE254C" w:rsidRPr="004D5680" w:rsidRDefault="00FE254C" w:rsidP="00430A21">
            <w:pPr>
              <w:jc w:val="both"/>
              <w:rPr>
                <w:sz w:val="28"/>
                <w:szCs w:val="28"/>
              </w:rPr>
            </w:pPr>
            <w:r w:rsidRPr="004D5680">
              <w:rPr>
                <w:sz w:val="28"/>
                <w:szCs w:val="28"/>
              </w:rPr>
              <w:t xml:space="preserve">Azartspēļu un izložu likuma 53.panta sestā daļa nosaka, ka </w:t>
            </w:r>
            <w:r w:rsidR="00AA3C78" w:rsidRPr="004D5680">
              <w:rPr>
                <w:sz w:val="28"/>
                <w:szCs w:val="28"/>
              </w:rPr>
              <w:t>i</w:t>
            </w:r>
            <w:r w:rsidRPr="004D5680">
              <w:rPr>
                <w:sz w:val="28"/>
                <w:szCs w:val="28"/>
              </w:rPr>
              <w:t xml:space="preserve">nteraktīvo spēļu organizētājs un totalizatora vai derību organizētājs, kas pieņem likmes ar elektronisko sakaru pakalpojumu starpniecību, ne vēlāk kā 15 dienas pēc pārskata ceturkšņa beigām Ministru kabineta noteiktajā kārtībā iesniedz Valsts ieņēmumu dienestam un Izložu un azartspēļu uzraudzības inspekcijai paziņojumu par pārskata ceturksnī iemaksāto likmju kopsummu un izmaksāto laimestu kopsummu, kā arī kredītiestādes izziņu par pārskata ceturksnī savstarpējos norēķinos ar spēlētājiem izmantotajā kontā veiktajiem darījumiem. </w:t>
            </w:r>
          </w:p>
          <w:p w:rsidR="00F8763C" w:rsidRPr="004D5680" w:rsidRDefault="00FE254C" w:rsidP="00430A21">
            <w:pPr>
              <w:jc w:val="both"/>
              <w:rPr>
                <w:sz w:val="28"/>
                <w:szCs w:val="28"/>
              </w:rPr>
            </w:pPr>
            <w:r w:rsidRPr="004D5680">
              <w:rPr>
                <w:sz w:val="28"/>
                <w:szCs w:val="28"/>
              </w:rPr>
              <w:t xml:space="preserve">Azartspēļu un izložu likuma 80.panta septītā daļa nosaka, ka izlozes organizētājs, kas pārdod biļetes ar elektronisko sakaru pakalpojumu starpniecību, ne vēlāk kā 15 dienas pēc pārskata ceturkšņa beigām šā likuma 53.panta sestajā daļā noteiktajā kārtībā iesniedz </w:t>
            </w:r>
            <w:r w:rsidR="00AA3C78" w:rsidRPr="004D5680">
              <w:rPr>
                <w:sz w:val="28"/>
                <w:szCs w:val="28"/>
              </w:rPr>
              <w:t>Valsts ieņēmumu dienestam un Izložu un azartspēļu uzraudzības inspekcijai</w:t>
            </w:r>
            <w:r w:rsidRPr="004D5680">
              <w:rPr>
                <w:sz w:val="28"/>
                <w:szCs w:val="28"/>
              </w:rPr>
              <w:t xml:space="preserve"> paziņojumu par pārskata ceturksnī iemaksāto likmju kopsummu un izmaksāto laimestu kopsummu, kā arī kredītiestādes izziņu par pārskata ceturksnī savstarpējos norēķinos ar dalībniekiem izmantotajā kontā veiktajiem darījumiem.</w:t>
            </w:r>
          </w:p>
          <w:p w:rsidR="00094EEE" w:rsidRPr="004D5680" w:rsidRDefault="00094EEE" w:rsidP="00430A21">
            <w:pPr>
              <w:jc w:val="both"/>
              <w:rPr>
                <w:sz w:val="28"/>
                <w:szCs w:val="28"/>
              </w:rPr>
            </w:pPr>
            <w:r w:rsidRPr="004D5680">
              <w:rPr>
                <w:sz w:val="28"/>
                <w:szCs w:val="28"/>
              </w:rPr>
              <w:t>Saskaņā ar Azartspēļu un izložu likuma 44.panta pirmo daļu a</w:t>
            </w:r>
            <w:r w:rsidRPr="004D5680">
              <w:rPr>
                <w:sz w:val="28"/>
                <w:szCs w:val="28"/>
                <w:shd w:val="clear" w:color="auto" w:fill="FFFFFF"/>
              </w:rPr>
              <w:t xml:space="preserve">r elektronisko sakaru pakalpojumu starpniecību ir atļauts organizēt spēļu automātu spēles, ruletes (cilindriskās spēles), kāršu spēles, kauliņu spēles, bingo, totalizatoru, derības (turpmāk arī </w:t>
            </w:r>
            <w:r w:rsidRPr="004D5680">
              <w:rPr>
                <w:sz w:val="28"/>
                <w:szCs w:val="28"/>
              </w:rPr>
              <w:t>–</w:t>
            </w:r>
            <w:r w:rsidRPr="004D5680">
              <w:rPr>
                <w:sz w:val="28"/>
                <w:szCs w:val="28"/>
                <w:shd w:val="clear" w:color="auto" w:fill="FFFFFF"/>
              </w:rPr>
              <w:t xml:space="preserve"> inter</w:t>
            </w:r>
            <w:r w:rsidRPr="004D5680">
              <w:rPr>
                <w:sz w:val="28"/>
                <w:szCs w:val="28"/>
                <w:shd w:val="clear" w:color="auto" w:fill="FFFFFF"/>
              </w:rPr>
              <w:softHyphen/>
              <w:t>aktīvās azartspēles) un veiksmes spēles pa tālruni.</w:t>
            </w:r>
          </w:p>
          <w:p w:rsidR="00FE254C" w:rsidRPr="004D5680" w:rsidRDefault="00094EEE" w:rsidP="00430A21">
            <w:pPr>
              <w:jc w:val="both"/>
              <w:rPr>
                <w:sz w:val="28"/>
                <w:szCs w:val="28"/>
              </w:rPr>
            </w:pPr>
            <w:r w:rsidRPr="004D5680">
              <w:rPr>
                <w:sz w:val="28"/>
                <w:szCs w:val="28"/>
              </w:rPr>
              <w:t xml:space="preserve">Ņemot vērā, ka </w:t>
            </w:r>
            <w:r w:rsidR="00FE254C" w:rsidRPr="004D5680">
              <w:rPr>
                <w:sz w:val="28"/>
                <w:szCs w:val="28"/>
              </w:rPr>
              <w:t xml:space="preserve">Latvijā licencētiem </w:t>
            </w:r>
            <w:r w:rsidR="00817ED0" w:rsidRPr="004D5680">
              <w:rPr>
                <w:sz w:val="28"/>
                <w:szCs w:val="28"/>
              </w:rPr>
              <w:t>azart</w:t>
            </w:r>
            <w:r w:rsidR="00FE254C" w:rsidRPr="004D5680">
              <w:rPr>
                <w:sz w:val="28"/>
                <w:szCs w:val="28"/>
              </w:rPr>
              <w:t xml:space="preserve">spēļu organizētājiem </w:t>
            </w:r>
            <w:r w:rsidRPr="004D5680">
              <w:rPr>
                <w:sz w:val="28"/>
                <w:szCs w:val="28"/>
              </w:rPr>
              <w:t xml:space="preserve"> interaktīvajā vidē </w:t>
            </w:r>
            <w:r w:rsidR="00FE254C" w:rsidRPr="004D5680">
              <w:rPr>
                <w:sz w:val="28"/>
                <w:szCs w:val="28"/>
              </w:rPr>
              <w:t xml:space="preserve">ir </w:t>
            </w:r>
            <w:r w:rsidR="00C91077" w:rsidRPr="004D5680">
              <w:rPr>
                <w:sz w:val="28"/>
                <w:szCs w:val="28"/>
              </w:rPr>
              <w:t>atļauts organizēt</w:t>
            </w:r>
            <w:r w:rsidR="00FE254C" w:rsidRPr="004D5680">
              <w:rPr>
                <w:sz w:val="28"/>
                <w:szCs w:val="28"/>
              </w:rPr>
              <w:t xml:space="preserve"> visus </w:t>
            </w:r>
            <w:r w:rsidR="00817ED0" w:rsidRPr="004D5680">
              <w:rPr>
                <w:sz w:val="28"/>
                <w:szCs w:val="28"/>
              </w:rPr>
              <w:t xml:space="preserve">interaktīvo </w:t>
            </w:r>
            <w:r w:rsidR="00FE254C" w:rsidRPr="004D5680">
              <w:rPr>
                <w:sz w:val="28"/>
                <w:szCs w:val="28"/>
              </w:rPr>
              <w:t xml:space="preserve">azartspēļu veidus, </w:t>
            </w:r>
            <w:r w:rsidR="00817ED0" w:rsidRPr="004D5680">
              <w:rPr>
                <w:sz w:val="28"/>
                <w:szCs w:val="28"/>
              </w:rPr>
              <w:t>t.i.,</w:t>
            </w:r>
            <w:r w:rsidR="00817ED0" w:rsidRPr="004D5680">
              <w:rPr>
                <w:sz w:val="28"/>
                <w:szCs w:val="28"/>
                <w:shd w:val="clear" w:color="auto" w:fill="FFFFFF"/>
              </w:rPr>
              <w:t xml:space="preserve"> spēļu automātu spēles, ruletes (cilindriskās spēles), kāršu spēles, kauliņu spēles, bingo, totalizatoru, derības</w:t>
            </w:r>
            <w:r w:rsidR="00FE254C" w:rsidRPr="004D5680">
              <w:rPr>
                <w:sz w:val="28"/>
                <w:szCs w:val="28"/>
              </w:rPr>
              <w:t xml:space="preserve">, tāpēc nepieciešams precizēt paziņojuma veidlapu, norādot </w:t>
            </w:r>
            <w:r w:rsidRPr="004D5680">
              <w:rPr>
                <w:sz w:val="28"/>
                <w:szCs w:val="28"/>
              </w:rPr>
              <w:t xml:space="preserve">tajā visu interaktīvo </w:t>
            </w:r>
            <w:r w:rsidR="00FE254C" w:rsidRPr="004D5680">
              <w:rPr>
                <w:sz w:val="28"/>
                <w:szCs w:val="28"/>
              </w:rPr>
              <w:t>azartspēļu veidu</w:t>
            </w:r>
            <w:r w:rsidRPr="004D5680">
              <w:rPr>
                <w:sz w:val="28"/>
                <w:szCs w:val="28"/>
              </w:rPr>
              <w:t xml:space="preserve"> nosaukumus</w:t>
            </w:r>
            <w:r w:rsidR="00FE254C" w:rsidRPr="004D5680">
              <w:rPr>
                <w:sz w:val="28"/>
                <w:szCs w:val="28"/>
              </w:rPr>
              <w:t>.</w:t>
            </w:r>
          </w:p>
          <w:p w:rsidR="006B196C" w:rsidRPr="004D5680" w:rsidRDefault="00FE254C" w:rsidP="004D5680">
            <w:pPr>
              <w:pStyle w:val="DefaultParagraphFont1"/>
              <w:jc w:val="both"/>
              <w:rPr>
                <w:sz w:val="28"/>
                <w:szCs w:val="28"/>
              </w:rPr>
            </w:pPr>
            <w:r w:rsidRPr="004D5680">
              <w:rPr>
                <w:rFonts w:ascii="Times New Roman" w:hAnsi="Times New Roman"/>
                <w:sz w:val="28"/>
                <w:szCs w:val="28"/>
              </w:rPr>
              <w:lastRenderedPageBreak/>
              <w:t>Pašreizējā paziņošanas kārtība paredz divus dažādus paziņojuma veidlapu veidus – 1.pielikums, kas iesniedzams par interaktīvām azartspēlēm, izņemot totalizatoru un derības, un 3.pielikums, paziņojums par interaktīvo totalizatoru un derībām. Noteikumu projektā tiek apvienots 1.pielikums un 3.pielikums vienā pielikumā</w:t>
            </w:r>
            <w:r w:rsidR="00CD5D97" w:rsidRPr="004D5680">
              <w:rPr>
                <w:rFonts w:ascii="Times New Roman" w:hAnsi="Times New Roman"/>
                <w:sz w:val="28"/>
                <w:szCs w:val="28"/>
              </w:rPr>
              <w:t>, kurā</w:t>
            </w:r>
            <w:r w:rsidR="008B3752" w:rsidRPr="004D5680">
              <w:rPr>
                <w:rFonts w:ascii="Times New Roman" w:hAnsi="Times New Roman"/>
                <w:sz w:val="28"/>
                <w:szCs w:val="28"/>
              </w:rPr>
              <w:t xml:space="preserve"> </w:t>
            </w:r>
            <w:r w:rsidR="00090DB8" w:rsidRPr="004D5680">
              <w:rPr>
                <w:rFonts w:ascii="Times New Roman" w:hAnsi="Times New Roman"/>
                <w:sz w:val="28"/>
                <w:szCs w:val="28"/>
              </w:rPr>
              <w:t xml:space="preserve">būs iespējams </w:t>
            </w:r>
            <w:r w:rsidR="00CD5D97" w:rsidRPr="004D5680">
              <w:rPr>
                <w:rFonts w:ascii="Times New Roman" w:hAnsi="Times New Roman"/>
                <w:sz w:val="28"/>
                <w:szCs w:val="28"/>
              </w:rPr>
              <w:t>norādīt</w:t>
            </w:r>
            <w:r w:rsidR="00090DB8" w:rsidRPr="004D5680">
              <w:rPr>
                <w:rFonts w:ascii="Times New Roman" w:hAnsi="Times New Roman"/>
                <w:sz w:val="28"/>
                <w:szCs w:val="28"/>
              </w:rPr>
              <w:t xml:space="preserve"> </w:t>
            </w:r>
            <w:r w:rsidR="00DE60E1" w:rsidRPr="004D5680">
              <w:rPr>
                <w:rFonts w:ascii="Times New Roman" w:hAnsi="Times New Roman"/>
                <w:sz w:val="28"/>
                <w:szCs w:val="28"/>
              </w:rPr>
              <w:t xml:space="preserve">pārskata ceturkšņa attiecīgajā mēnesī un </w:t>
            </w:r>
            <w:r w:rsidR="00090DB8" w:rsidRPr="004D5680">
              <w:rPr>
                <w:rFonts w:ascii="Times New Roman" w:hAnsi="Times New Roman"/>
                <w:sz w:val="28"/>
                <w:szCs w:val="28"/>
              </w:rPr>
              <w:t>pārskata ceturksnī iemaksāto likmju kopsummu un izmaksāto laimestu kopsummu par</w:t>
            </w:r>
            <w:r w:rsidR="00CD5D97" w:rsidRPr="004D5680">
              <w:rPr>
                <w:rFonts w:ascii="Times New Roman" w:hAnsi="Times New Roman"/>
                <w:sz w:val="28"/>
                <w:szCs w:val="28"/>
              </w:rPr>
              <w:t xml:space="preserve"> visu</w:t>
            </w:r>
            <w:r w:rsidR="008B3752" w:rsidRPr="004D5680">
              <w:rPr>
                <w:rFonts w:ascii="Times New Roman" w:hAnsi="Times New Roman"/>
                <w:sz w:val="28"/>
                <w:szCs w:val="28"/>
              </w:rPr>
              <w:t xml:space="preserve"> </w:t>
            </w:r>
            <w:r w:rsidR="00CD5D97" w:rsidRPr="004D5680">
              <w:rPr>
                <w:rFonts w:ascii="Times New Roman" w:hAnsi="Times New Roman"/>
                <w:sz w:val="28"/>
                <w:szCs w:val="28"/>
              </w:rPr>
              <w:t xml:space="preserve">interaktīvo </w:t>
            </w:r>
            <w:r w:rsidR="008B3752" w:rsidRPr="004D5680">
              <w:rPr>
                <w:rFonts w:ascii="Times New Roman" w:hAnsi="Times New Roman"/>
                <w:sz w:val="28"/>
                <w:szCs w:val="28"/>
              </w:rPr>
              <w:t>azartspēļu veid</w:t>
            </w:r>
            <w:r w:rsidR="00090DB8" w:rsidRPr="004D5680">
              <w:rPr>
                <w:rFonts w:ascii="Times New Roman" w:hAnsi="Times New Roman"/>
                <w:sz w:val="28"/>
                <w:szCs w:val="28"/>
              </w:rPr>
              <w:t>iem</w:t>
            </w:r>
            <w:r w:rsidR="00DE60E1" w:rsidRPr="004D5680">
              <w:rPr>
                <w:rFonts w:ascii="Times New Roman" w:hAnsi="Times New Roman"/>
                <w:sz w:val="28"/>
                <w:szCs w:val="28"/>
              </w:rPr>
              <w:t>. Pielikumā paredzēts atsevišķi norādīt</w:t>
            </w:r>
            <w:r w:rsidR="00090DB8" w:rsidRPr="004D5680">
              <w:rPr>
                <w:rFonts w:ascii="Times New Roman" w:hAnsi="Times New Roman"/>
                <w:sz w:val="28"/>
                <w:szCs w:val="28"/>
              </w:rPr>
              <w:t xml:space="preserve"> </w:t>
            </w:r>
            <w:r w:rsidR="00033B6A" w:rsidRPr="004D5680">
              <w:rPr>
                <w:rFonts w:ascii="Times New Roman" w:hAnsi="Times New Roman"/>
                <w:sz w:val="28"/>
                <w:szCs w:val="28"/>
              </w:rPr>
              <w:t>azartspēļu organizētāja ieņēmumus</w:t>
            </w:r>
            <w:r w:rsidR="00F8763C" w:rsidRPr="004D5680">
              <w:rPr>
                <w:rFonts w:ascii="Times New Roman" w:hAnsi="Times New Roman"/>
                <w:sz w:val="28"/>
                <w:szCs w:val="28"/>
              </w:rPr>
              <w:t xml:space="preserve"> </w:t>
            </w:r>
            <w:r w:rsidR="00033B6A" w:rsidRPr="004D5680">
              <w:rPr>
                <w:rFonts w:ascii="Times New Roman" w:hAnsi="Times New Roman"/>
                <w:sz w:val="28"/>
                <w:szCs w:val="28"/>
              </w:rPr>
              <w:t>no</w:t>
            </w:r>
            <w:r w:rsidR="00DE60E1" w:rsidRPr="004D5680">
              <w:rPr>
                <w:rFonts w:ascii="Times New Roman" w:hAnsi="Times New Roman"/>
                <w:sz w:val="28"/>
                <w:szCs w:val="28"/>
              </w:rPr>
              <w:t xml:space="preserve"> šādiem interaktīvo azartspēļu veidiem:</w:t>
            </w:r>
          </w:p>
          <w:p w:rsidR="006B196C" w:rsidRPr="004D5680" w:rsidRDefault="006B196C" w:rsidP="004D5680">
            <w:pPr>
              <w:pStyle w:val="DefaultParagraphFont1"/>
              <w:ind w:firstLine="567"/>
              <w:jc w:val="both"/>
              <w:rPr>
                <w:sz w:val="28"/>
                <w:szCs w:val="28"/>
              </w:rPr>
            </w:pPr>
            <w:r w:rsidRPr="004D5680">
              <w:rPr>
                <w:rFonts w:ascii="Times New Roman" w:hAnsi="Times New Roman"/>
                <w:sz w:val="28"/>
                <w:szCs w:val="28"/>
              </w:rPr>
              <w:t>1) spēļu automātu spēlēm, ruletēm (cilindriskām spēlēm), kāršu spēlēm</w:t>
            </w:r>
            <w:r w:rsidR="00770600" w:rsidRPr="004D5680">
              <w:rPr>
                <w:rFonts w:ascii="Times New Roman" w:hAnsi="Times New Roman"/>
                <w:sz w:val="28"/>
                <w:szCs w:val="28"/>
              </w:rPr>
              <w:t xml:space="preserve"> </w:t>
            </w:r>
            <w:r w:rsidR="00770600">
              <w:rPr>
                <w:rFonts w:ascii="Times New Roman" w:hAnsi="Times New Roman"/>
                <w:sz w:val="28"/>
                <w:szCs w:val="28"/>
              </w:rPr>
              <w:t>(</w:t>
            </w:r>
            <w:r w:rsidR="00770600" w:rsidRPr="004D5680">
              <w:rPr>
                <w:rFonts w:ascii="Times New Roman" w:hAnsi="Times New Roman"/>
                <w:sz w:val="28"/>
                <w:szCs w:val="28"/>
              </w:rPr>
              <w:t>izņemot kāršu spēl</w:t>
            </w:r>
            <w:r w:rsidR="00770600">
              <w:rPr>
                <w:rFonts w:ascii="Times New Roman" w:hAnsi="Times New Roman"/>
                <w:sz w:val="28"/>
                <w:szCs w:val="28"/>
              </w:rPr>
              <w:t>es</w:t>
            </w:r>
            <w:r w:rsidR="00770600" w:rsidRPr="004D5680">
              <w:rPr>
                <w:rFonts w:ascii="Times New Roman" w:hAnsi="Times New Roman"/>
                <w:sz w:val="28"/>
                <w:szCs w:val="28"/>
              </w:rPr>
              <w:t xml:space="preserve"> starp spēlētājiem</w:t>
            </w:r>
            <w:r w:rsidR="00770600">
              <w:rPr>
                <w:rFonts w:ascii="Times New Roman" w:hAnsi="Times New Roman"/>
                <w:sz w:val="28"/>
                <w:szCs w:val="28"/>
              </w:rPr>
              <w:t>)</w:t>
            </w:r>
            <w:r w:rsidRPr="004D5680">
              <w:rPr>
                <w:rFonts w:ascii="Times New Roman" w:hAnsi="Times New Roman"/>
                <w:sz w:val="28"/>
                <w:szCs w:val="28"/>
              </w:rPr>
              <w:t>, kauliņu spēlēm, bingo;</w:t>
            </w:r>
          </w:p>
          <w:p w:rsidR="006B196C" w:rsidRPr="004D5680" w:rsidRDefault="006B196C" w:rsidP="004D5680">
            <w:pPr>
              <w:ind w:firstLine="567"/>
              <w:jc w:val="both"/>
              <w:rPr>
                <w:sz w:val="28"/>
                <w:szCs w:val="28"/>
              </w:rPr>
            </w:pPr>
            <w:r w:rsidRPr="004D5680">
              <w:rPr>
                <w:sz w:val="28"/>
                <w:szCs w:val="28"/>
              </w:rPr>
              <w:t>2) totalizatoru un derībām;</w:t>
            </w:r>
          </w:p>
          <w:p w:rsidR="003D3AA1" w:rsidRPr="004D5680" w:rsidRDefault="006B196C" w:rsidP="004D5680">
            <w:pPr>
              <w:ind w:firstLine="567"/>
              <w:jc w:val="both"/>
              <w:rPr>
                <w:sz w:val="28"/>
                <w:szCs w:val="28"/>
              </w:rPr>
            </w:pPr>
            <w:r w:rsidRPr="004D5680">
              <w:rPr>
                <w:sz w:val="28"/>
                <w:szCs w:val="28"/>
              </w:rPr>
              <w:t>3) k</w:t>
            </w:r>
            <w:r w:rsidRPr="004D5680">
              <w:rPr>
                <w:rFonts w:hint="eastAsia"/>
                <w:sz w:val="28"/>
                <w:szCs w:val="28"/>
              </w:rPr>
              <w:t>ā</w:t>
            </w:r>
            <w:r w:rsidRPr="004D5680">
              <w:rPr>
                <w:sz w:val="28"/>
                <w:szCs w:val="28"/>
              </w:rPr>
              <w:t>ršu sp</w:t>
            </w:r>
            <w:r w:rsidRPr="004D5680">
              <w:rPr>
                <w:rFonts w:hint="eastAsia"/>
                <w:sz w:val="28"/>
                <w:szCs w:val="28"/>
              </w:rPr>
              <w:t>ē</w:t>
            </w:r>
            <w:r w:rsidRPr="004D5680">
              <w:rPr>
                <w:sz w:val="28"/>
                <w:szCs w:val="28"/>
              </w:rPr>
              <w:t>l</w:t>
            </w:r>
            <w:r w:rsidRPr="004D5680">
              <w:rPr>
                <w:rFonts w:hint="eastAsia"/>
                <w:sz w:val="28"/>
                <w:szCs w:val="28"/>
              </w:rPr>
              <w:t>ē</w:t>
            </w:r>
            <w:r w:rsidRPr="004D5680">
              <w:rPr>
                <w:sz w:val="28"/>
                <w:szCs w:val="28"/>
              </w:rPr>
              <w:t>m starp sp</w:t>
            </w:r>
            <w:r w:rsidRPr="004D5680">
              <w:rPr>
                <w:rFonts w:hint="eastAsia"/>
                <w:sz w:val="28"/>
                <w:szCs w:val="28"/>
              </w:rPr>
              <w:t>ē</w:t>
            </w:r>
            <w:r w:rsidRPr="004D5680">
              <w:rPr>
                <w:sz w:val="28"/>
                <w:szCs w:val="28"/>
              </w:rPr>
              <w:t>l</w:t>
            </w:r>
            <w:r w:rsidRPr="004D5680">
              <w:rPr>
                <w:rFonts w:hint="eastAsia"/>
                <w:sz w:val="28"/>
                <w:szCs w:val="28"/>
              </w:rPr>
              <w:t>ē</w:t>
            </w:r>
            <w:r w:rsidRPr="004D5680">
              <w:rPr>
                <w:sz w:val="28"/>
                <w:szCs w:val="28"/>
              </w:rPr>
              <w:t>t</w:t>
            </w:r>
            <w:r w:rsidRPr="004D5680">
              <w:rPr>
                <w:rFonts w:hint="eastAsia"/>
                <w:sz w:val="28"/>
                <w:szCs w:val="28"/>
              </w:rPr>
              <w:t>ā</w:t>
            </w:r>
            <w:r w:rsidRPr="004D5680">
              <w:rPr>
                <w:sz w:val="28"/>
                <w:szCs w:val="28"/>
              </w:rPr>
              <w:t>jiem.</w:t>
            </w:r>
            <w:r w:rsidR="00090DB8" w:rsidRPr="004D5680">
              <w:rPr>
                <w:sz w:val="28"/>
                <w:szCs w:val="28"/>
              </w:rPr>
              <w:t xml:space="preserve"> </w:t>
            </w:r>
          </w:p>
          <w:p w:rsidR="00E93755" w:rsidRPr="00E85539" w:rsidRDefault="007D6B42" w:rsidP="00430A21">
            <w:pPr>
              <w:pStyle w:val="DefaultParagraphFont1"/>
              <w:jc w:val="both"/>
              <w:rPr>
                <w:rFonts w:ascii="Times New Roman" w:hAnsi="Times New Roman"/>
                <w:sz w:val="28"/>
                <w:szCs w:val="28"/>
                <w:shd w:val="clear" w:color="auto" w:fill="FFFFFF"/>
              </w:rPr>
            </w:pPr>
            <w:r w:rsidRPr="004D5680">
              <w:rPr>
                <w:rFonts w:ascii="Times New Roman" w:hAnsi="Times New Roman"/>
                <w:sz w:val="28"/>
                <w:szCs w:val="28"/>
              </w:rPr>
              <w:t>Latvij</w:t>
            </w:r>
            <w:r w:rsidRPr="004D5680">
              <w:rPr>
                <w:rFonts w:ascii="Times New Roman" w:hAnsi="Times New Roman" w:hint="eastAsia"/>
                <w:sz w:val="28"/>
                <w:szCs w:val="28"/>
              </w:rPr>
              <w:t>ā</w:t>
            </w:r>
            <w:r w:rsidRPr="004D5680">
              <w:rPr>
                <w:rFonts w:ascii="Times New Roman" w:hAnsi="Times New Roman"/>
                <w:sz w:val="28"/>
                <w:szCs w:val="28"/>
              </w:rPr>
              <w:t xml:space="preserve"> licenc</w:t>
            </w:r>
            <w:r w:rsidRPr="004D5680">
              <w:rPr>
                <w:rFonts w:ascii="Times New Roman" w:hAnsi="Times New Roman" w:hint="eastAsia"/>
                <w:sz w:val="28"/>
                <w:szCs w:val="28"/>
              </w:rPr>
              <w:t>ē</w:t>
            </w:r>
            <w:r w:rsidRPr="004D5680">
              <w:rPr>
                <w:rFonts w:ascii="Times New Roman" w:hAnsi="Times New Roman"/>
                <w:sz w:val="28"/>
                <w:szCs w:val="28"/>
              </w:rPr>
              <w:t>tiem azartsp</w:t>
            </w:r>
            <w:r w:rsidRPr="004D5680">
              <w:rPr>
                <w:rFonts w:ascii="Times New Roman" w:hAnsi="Times New Roman" w:hint="eastAsia"/>
                <w:sz w:val="28"/>
                <w:szCs w:val="28"/>
              </w:rPr>
              <w:t>ēļ</w:t>
            </w:r>
            <w:r w:rsidRPr="004D5680">
              <w:rPr>
                <w:rFonts w:ascii="Times New Roman" w:hAnsi="Times New Roman"/>
                <w:sz w:val="28"/>
                <w:szCs w:val="28"/>
              </w:rPr>
              <w:t>u organiz</w:t>
            </w:r>
            <w:r w:rsidRPr="004D5680">
              <w:rPr>
                <w:rFonts w:ascii="Times New Roman" w:hAnsi="Times New Roman" w:hint="eastAsia"/>
                <w:sz w:val="28"/>
                <w:szCs w:val="28"/>
              </w:rPr>
              <w:t>ē</w:t>
            </w:r>
            <w:r w:rsidRPr="004D5680">
              <w:rPr>
                <w:rFonts w:ascii="Times New Roman" w:hAnsi="Times New Roman"/>
                <w:sz w:val="28"/>
                <w:szCs w:val="28"/>
              </w:rPr>
              <w:t>t</w:t>
            </w:r>
            <w:r w:rsidRPr="004D5680">
              <w:rPr>
                <w:rFonts w:ascii="Times New Roman" w:hAnsi="Times New Roman" w:hint="eastAsia"/>
                <w:sz w:val="28"/>
                <w:szCs w:val="28"/>
              </w:rPr>
              <w:t>ā</w:t>
            </w:r>
            <w:r w:rsidRPr="004D5680">
              <w:rPr>
                <w:rFonts w:ascii="Times New Roman" w:hAnsi="Times New Roman"/>
                <w:sz w:val="28"/>
                <w:szCs w:val="28"/>
              </w:rPr>
              <w:t>jiem interakt</w:t>
            </w:r>
            <w:r w:rsidRPr="004D5680">
              <w:rPr>
                <w:rFonts w:ascii="Times New Roman" w:hAnsi="Times New Roman" w:hint="eastAsia"/>
                <w:sz w:val="28"/>
                <w:szCs w:val="28"/>
              </w:rPr>
              <w:t>ī</w:t>
            </w:r>
            <w:r w:rsidRPr="004D5680">
              <w:rPr>
                <w:rFonts w:ascii="Times New Roman" w:hAnsi="Times New Roman"/>
                <w:sz w:val="28"/>
                <w:szCs w:val="28"/>
              </w:rPr>
              <w:t>vaj</w:t>
            </w:r>
            <w:r w:rsidRPr="004D5680">
              <w:rPr>
                <w:rFonts w:ascii="Times New Roman" w:hAnsi="Times New Roman" w:hint="eastAsia"/>
                <w:sz w:val="28"/>
                <w:szCs w:val="28"/>
              </w:rPr>
              <w:t>ā</w:t>
            </w:r>
            <w:r w:rsidRPr="004D5680">
              <w:rPr>
                <w:rFonts w:ascii="Times New Roman" w:hAnsi="Times New Roman"/>
                <w:sz w:val="28"/>
                <w:szCs w:val="28"/>
              </w:rPr>
              <w:t xml:space="preserve"> vid</w:t>
            </w:r>
            <w:r w:rsidRPr="004D5680">
              <w:rPr>
                <w:rFonts w:ascii="Times New Roman" w:hAnsi="Times New Roman" w:hint="eastAsia"/>
                <w:sz w:val="28"/>
                <w:szCs w:val="28"/>
              </w:rPr>
              <w:t>ē</w:t>
            </w:r>
            <w:r w:rsidRPr="004D5680">
              <w:rPr>
                <w:rFonts w:ascii="Times New Roman" w:hAnsi="Times New Roman"/>
                <w:sz w:val="28"/>
                <w:szCs w:val="28"/>
              </w:rPr>
              <w:t xml:space="preserve"> ir at</w:t>
            </w:r>
            <w:r w:rsidRPr="004D5680">
              <w:rPr>
                <w:rFonts w:ascii="Times New Roman" w:hAnsi="Times New Roman" w:hint="eastAsia"/>
                <w:sz w:val="28"/>
                <w:szCs w:val="28"/>
              </w:rPr>
              <w:t>ļ</w:t>
            </w:r>
            <w:r w:rsidRPr="004D5680">
              <w:rPr>
                <w:rFonts w:ascii="Times New Roman" w:hAnsi="Times New Roman"/>
                <w:sz w:val="28"/>
                <w:szCs w:val="28"/>
              </w:rPr>
              <w:t>auts organiz</w:t>
            </w:r>
            <w:r w:rsidRPr="004D5680">
              <w:rPr>
                <w:rFonts w:ascii="Times New Roman" w:hAnsi="Times New Roman" w:hint="eastAsia"/>
                <w:sz w:val="28"/>
                <w:szCs w:val="28"/>
              </w:rPr>
              <w:t>ē</w:t>
            </w:r>
            <w:r w:rsidRPr="004D5680">
              <w:rPr>
                <w:rFonts w:ascii="Times New Roman" w:hAnsi="Times New Roman"/>
                <w:sz w:val="28"/>
                <w:szCs w:val="28"/>
              </w:rPr>
              <w:t xml:space="preserve">t kāršu spēles. </w:t>
            </w:r>
            <w:r w:rsidR="006B196C" w:rsidRPr="00E85539">
              <w:rPr>
                <w:rFonts w:ascii="Times New Roman" w:hAnsi="Times New Roman"/>
                <w:sz w:val="28"/>
                <w:szCs w:val="28"/>
                <w:shd w:val="clear" w:color="auto" w:fill="FFFFFF"/>
              </w:rPr>
              <w:t>V</w:t>
            </w:r>
            <w:r w:rsidR="003D3AA1" w:rsidRPr="00E85539">
              <w:rPr>
                <w:rFonts w:ascii="Times New Roman" w:hAnsi="Times New Roman"/>
                <w:sz w:val="28"/>
                <w:szCs w:val="28"/>
                <w:shd w:val="clear" w:color="auto" w:fill="FFFFFF"/>
              </w:rPr>
              <w:t>iens no interaktīvajā vidē organizētajiem kāršu spē</w:t>
            </w:r>
            <w:r w:rsidR="00AC5DF8" w:rsidRPr="00E85539">
              <w:rPr>
                <w:rFonts w:ascii="Times New Roman" w:hAnsi="Times New Roman"/>
                <w:sz w:val="28"/>
                <w:szCs w:val="28"/>
                <w:shd w:val="clear" w:color="auto" w:fill="FFFFFF"/>
              </w:rPr>
              <w:t>ļu</w:t>
            </w:r>
            <w:r w:rsidR="003D3AA1" w:rsidRPr="00E85539">
              <w:rPr>
                <w:rFonts w:ascii="Times New Roman" w:hAnsi="Times New Roman"/>
                <w:sz w:val="28"/>
                <w:szCs w:val="28"/>
                <w:shd w:val="clear" w:color="auto" w:fill="FFFFFF"/>
              </w:rPr>
              <w:t xml:space="preserve"> veidiem</w:t>
            </w:r>
            <w:r w:rsidR="00F8763C" w:rsidRPr="00E85539">
              <w:rPr>
                <w:rFonts w:ascii="Times New Roman" w:hAnsi="Times New Roman"/>
                <w:sz w:val="28"/>
                <w:szCs w:val="28"/>
                <w:shd w:val="clear" w:color="auto" w:fill="FFFFFF"/>
              </w:rPr>
              <w:t>, kurus paziņojumā ir paredzēts norādīt atsevišķi,</w:t>
            </w:r>
            <w:r w:rsidR="003D3AA1" w:rsidRPr="00E85539">
              <w:rPr>
                <w:rFonts w:ascii="Times New Roman" w:hAnsi="Times New Roman"/>
                <w:sz w:val="28"/>
                <w:szCs w:val="28"/>
                <w:shd w:val="clear" w:color="auto" w:fill="FFFFFF"/>
              </w:rPr>
              <w:t xml:space="preserve"> ir kāršu spēle</w:t>
            </w:r>
            <w:r w:rsidR="00AC5DF8" w:rsidRPr="00E85539">
              <w:rPr>
                <w:rFonts w:ascii="Times New Roman" w:hAnsi="Times New Roman"/>
                <w:sz w:val="28"/>
                <w:szCs w:val="28"/>
                <w:shd w:val="clear" w:color="auto" w:fill="FFFFFF"/>
              </w:rPr>
              <w:t>s</w:t>
            </w:r>
            <w:r w:rsidR="003D3AA1" w:rsidRPr="00E85539">
              <w:rPr>
                <w:rFonts w:ascii="Times New Roman" w:hAnsi="Times New Roman"/>
                <w:sz w:val="28"/>
                <w:szCs w:val="28"/>
                <w:shd w:val="clear" w:color="auto" w:fill="FFFFFF"/>
              </w:rPr>
              <w:t xml:space="preserve"> starp spēlētājiem. </w:t>
            </w:r>
            <w:r w:rsidR="003D3AA1" w:rsidRPr="00E85539">
              <w:rPr>
                <w:rFonts w:ascii="Times New Roman" w:hAnsi="Times New Roman"/>
                <w:sz w:val="28"/>
                <w:szCs w:val="28"/>
                <w:lang w:eastAsia="lv-LV"/>
              </w:rPr>
              <w:t xml:space="preserve">Organizējot </w:t>
            </w:r>
            <w:r w:rsidR="003D3AA1" w:rsidRPr="00E85539">
              <w:rPr>
                <w:rFonts w:ascii="Times New Roman" w:hAnsi="Times New Roman"/>
                <w:sz w:val="28"/>
                <w:szCs w:val="28"/>
                <w:shd w:val="clear" w:color="auto" w:fill="FFFFFF"/>
              </w:rPr>
              <w:t>kāršu spēli starp spēlētājiem,</w:t>
            </w:r>
            <w:r w:rsidR="003D3AA1" w:rsidRPr="00E85539">
              <w:rPr>
                <w:rFonts w:ascii="Times New Roman" w:hAnsi="Times New Roman"/>
                <w:sz w:val="28"/>
                <w:szCs w:val="28"/>
                <w:lang w:eastAsia="lv-LV"/>
              </w:rPr>
              <w:t xml:space="preserve"> azartspēļu organizētājs nodrošina spēlētājiem iespēju piedalīties šādā kāršu spēlē un spēlēt vienam pret otru.</w:t>
            </w:r>
            <w:r w:rsidR="003D3AA1" w:rsidRPr="00E85539">
              <w:rPr>
                <w:rFonts w:ascii="Times New Roman" w:hAnsi="Times New Roman"/>
                <w:sz w:val="28"/>
                <w:szCs w:val="28"/>
                <w:shd w:val="clear" w:color="auto" w:fill="FFFFFF"/>
              </w:rPr>
              <w:t xml:space="preserve"> </w:t>
            </w:r>
          </w:p>
          <w:p w:rsidR="00E93755" w:rsidRPr="00E85539" w:rsidRDefault="00E93755" w:rsidP="00E85539">
            <w:pPr>
              <w:jc w:val="both"/>
              <w:rPr>
                <w:sz w:val="28"/>
                <w:szCs w:val="28"/>
              </w:rPr>
            </w:pPr>
            <w:r w:rsidRPr="00E85539">
              <w:rPr>
                <w:bCs/>
                <w:sz w:val="28"/>
                <w:szCs w:val="28"/>
              </w:rPr>
              <w:t xml:space="preserve">Saskaņā ar Ministru kabineta </w:t>
            </w:r>
            <w:r w:rsidRPr="00E85539">
              <w:rPr>
                <w:sz w:val="28"/>
                <w:szCs w:val="28"/>
              </w:rPr>
              <w:t xml:space="preserve">2014.gada 25.februāra </w:t>
            </w:r>
            <w:r w:rsidRPr="00E85539">
              <w:rPr>
                <w:bCs/>
                <w:sz w:val="28"/>
                <w:szCs w:val="28"/>
              </w:rPr>
              <w:t xml:space="preserve">noteikumu Nr.111 </w:t>
            </w:r>
            <w:r w:rsidRPr="00E85539">
              <w:rPr>
                <w:rFonts w:eastAsiaTheme="minorHAnsi"/>
                <w:sz w:val="28"/>
                <w:szCs w:val="28"/>
                <w:lang w:eastAsia="en-US"/>
              </w:rPr>
              <w:t>„</w:t>
            </w:r>
            <w:r w:rsidRPr="00E85539">
              <w:rPr>
                <w:bCs/>
                <w:sz w:val="28"/>
                <w:szCs w:val="28"/>
              </w:rPr>
              <w:t xml:space="preserve">Grozījums Ministru kabineta 2006.gada 19.decembra noteikumos Nr.1043 </w:t>
            </w:r>
            <w:r w:rsidRPr="00E85539">
              <w:rPr>
                <w:rFonts w:eastAsiaTheme="minorHAnsi"/>
                <w:sz w:val="28"/>
                <w:szCs w:val="28"/>
                <w:lang w:eastAsia="en-US"/>
              </w:rPr>
              <w:t>„</w:t>
            </w:r>
            <w:r w:rsidRPr="00E85539">
              <w:rPr>
                <w:bCs/>
                <w:sz w:val="28"/>
                <w:szCs w:val="28"/>
              </w:rPr>
              <w:t>Azartspēļu un izložu organizācijas vienotā grāmatvedības uzskaites kārtība</w:t>
            </w:r>
            <w:r w:rsidRPr="00E85539">
              <w:rPr>
                <w:rFonts w:eastAsiaTheme="minorHAnsi"/>
                <w:sz w:val="28"/>
                <w:szCs w:val="28"/>
                <w:lang w:eastAsia="en-US"/>
              </w:rPr>
              <w:t xml:space="preserve">””, kas stājās spēkā 2014.gada 1.martā, 1.punktu </w:t>
            </w:r>
            <w:r w:rsidRPr="00E85539">
              <w:rPr>
                <w:sz w:val="28"/>
                <w:szCs w:val="28"/>
              </w:rPr>
              <w:t>noteikumu  69.punkts tika izteikts jaunā redakcijā, nosakot, ka ieņēmumi no azartspēļu organizēšanas, izmantojot elektronisko sakaru pakalpojumus, ir:</w:t>
            </w:r>
          </w:p>
          <w:p w:rsidR="00E93755" w:rsidRPr="00E85539" w:rsidRDefault="00E93755" w:rsidP="00E93755">
            <w:pPr>
              <w:ind w:firstLine="567"/>
              <w:jc w:val="both"/>
              <w:rPr>
                <w:sz w:val="28"/>
                <w:szCs w:val="28"/>
              </w:rPr>
            </w:pPr>
            <w:r w:rsidRPr="00E85539">
              <w:rPr>
                <w:sz w:val="28"/>
                <w:szCs w:val="28"/>
              </w:rPr>
              <w:t>69.1. iemaksāto un pieņemto dalības maksas likmju kopsumma, no kuras atskaitīti azartspēļu organizētāja izmaksātie laimesti;</w:t>
            </w:r>
          </w:p>
          <w:p w:rsidR="00E93755" w:rsidRPr="00E85539" w:rsidRDefault="00E93755" w:rsidP="00E93755">
            <w:pPr>
              <w:pStyle w:val="DefaultParagraphFont1"/>
              <w:ind w:firstLine="567"/>
              <w:jc w:val="both"/>
              <w:rPr>
                <w:rFonts w:ascii="Times New Roman" w:hAnsi="Times New Roman"/>
                <w:sz w:val="28"/>
                <w:szCs w:val="28"/>
                <w:shd w:val="clear" w:color="auto" w:fill="FFFFFF"/>
              </w:rPr>
            </w:pPr>
            <w:r w:rsidRPr="00E85539">
              <w:rPr>
                <w:rFonts w:ascii="Times New Roman" w:hAnsi="Times New Roman"/>
                <w:sz w:val="28"/>
                <w:szCs w:val="28"/>
                <w:lang w:eastAsia="lv-LV"/>
              </w:rPr>
              <w:t>69.2. komisijas maksa, ko saskaņā ar azartspēles noteikumiem azartspēļu organizētājs saņēmis par kāršu spēli starp spēlētājiem un ko apstiprina kredītiestādes konta izraksts.</w:t>
            </w:r>
          </w:p>
          <w:p w:rsidR="007D6B42" w:rsidRPr="00E85539" w:rsidRDefault="00E93755" w:rsidP="00430A21">
            <w:pPr>
              <w:pStyle w:val="DefaultParagraphFont1"/>
              <w:jc w:val="both"/>
              <w:rPr>
                <w:rFonts w:ascii="Times New Roman" w:hAnsi="Times New Roman"/>
                <w:sz w:val="28"/>
                <w:szCs w:val="28"/>
                <w:lang w:eastAsia="lv-LV"/>
              </w:rPr>
            </w:pPr>
            <w:r w:rsidRPr="00E85539">
              <w:rPr>
                <w:rFonts w:ascii="Times New Roman" w:hAnsi="Times New Roman"/>
                <w:sz w:val="28"/>
                <w:szCs w:val="28"/>
                <w:shd w:val="clear" w:color="auto" w:fill="FFFFFF"/>
              </w:rPr>
              <w:t>Tādējādi k</w:t>
            </w:r>
            <w:r w:rsidR="003D3AA1" w:rsidRPr="00E85539">
              <w:rPr>
                <w:rFonts w:ascii="Times New Roman" w:hAnsi="Times New Roman"/>
                <w:sz w:val="28"/>
                <w:szCs w:val="28"/>
                <w:shd w:val="clear" w:color="auto" w:fill="FFFFFF"/>
              </w:rPr>
              <w:t>āršu spēle</w:t>
            </w:r>
            <w:r w:rsidR="00AC5DF8" w:rsidRPr="00E85539">
              <w:rPr>
                <w:rFonts w:ascii="Times New Roman" w:hAnsi="Times New Roman"/>
                <w:sz w:val="28"/>
                <w:szCs w:val="28"/>
                <w:shd w:val="clear" w:color="auto" w:fill="FFFFFF"/>
              </w:rPr>
              <w:t>s</w:t>
            </w:r>
            <w:r w:rsidR="003D3AA1" w:rsidRPr="00E85539">
              <w:rPr>
                <w:rFonts w:ascii="Times New Roman" w:hAnsi="Times New Roman"/>
                <w:sz w:val="28"/>
                <w:szCs w:val="28"/>
                <w:shd w:val="clear" w:color="auto" w:fill="FFFFFF"/>
              </w:rPr>
              <w:t xml:space="preserve"> starp spēlētājiem no citiem interaktīvajā vidē organizētajiem azartspēļu veidiem, tai skaitā no citām kāršu spēlēm, atšķiras ar to, ka </w:t>
            </w:r>
            <w:r w:rsidR="003D3AA1" w:rsidRPr="00E85539">
              <w:rPr>
                <w:rFonts w:ascii="Times New Roman" w:hAnsi="Times New Roman"/>
                <w:sz w:val="28"/>
                <w:szCs w:val="28"/>
                <w:lang w:eastAsia="lv-LV"/>
              </w:rPr>
              <w:t>azartspēļu organizētāja ieņēmumus no kāršu spēl</w:t>
            </w:r>
            <w:r w:rsidR="00AC5DF8" w:rsidRPr="00E85539">
              <w:rPr>
                <w:rFonts w:ascii="Times New Roman" w:hAnsi="Times New Roman"/>
                <w:sz w:val="28"/>
                <w:szCs w:val="28"/>
                <w:lang w:eastAsia="lv-LV"/>
              </w:rPr>
              <w:t>ēm</w:t>
            </w:r>
            <w:r w:rsidR="003D3AA1" w:rsidRPr="00E85539">
              <w:rPr>
                <w:rFonts w:ascii="Times New Roman" w:hAnsi="Times New Roman"/>
                <w:sz w:val="28"/>
                <w:szCs w:val="28"/>
                <w:lang w:eastAsia="lv-LV"/>
              </w:rPr>
              <w:t xml:space="preserve"> starp spēlētājiem </w:t>
            </w:r>
            <w:r w:rsidR="003D3AA1" w:rsidRPr="00E85539">
              <w:rPr>
                <w:rFonts w:ascii="Times New Roman" w:hAnsi="Times New Roman"/>
                <w:sz w:val="28"/>
                <w:szCs w:val="28"/>
                <w:lang w:eastAsia="lv-LV"/>
              </w:rPr>
              <w:lastRenderedPageBreak/>
              <w:t>veido saņemtā komisijas maksa.</w:t>
            </w:r>
          </w:p>
          <w:p w:rsidR="00E85539" w:rsidRPr="00A80CAD" w:rsidRDefault="003D3AA1" w:rsidP="00E85539">
            <w:pPr>
              <w:pStyle w:val="DefaultParagraphFont1"/>
              <w:jc w:val="both"/>
              <w:rPr>
                <w:rFonts w:ascii="Times New Roman" w:hAnsi="Times New Roman"/>
                <w:sz w:val="28"/>
                <w:szCs w:val="28"/>
              </w:rPr>
            </w:pPr>
            <w:r w:rsidRPr="00E85539">
              <w:rPr>
                <w:sz w:val="28"/>
                <w:szCs w:val="28"/>
              </w:rPr>
              <w:t xml:space="preserve">Tā kā kāršu spēļu veidam </w:t>
            </w:r>
            <w:r w:rsidR="007D6B42" w:rsidRPr="00E85539">
              <w:rPr>
                <w:rFonts w:ascii="Times New Roman" w:hAnsi="Times New Roman"/>
                <w:sz w:val="28"/>
                <w:szCs w:val="28"/>
              </w:rPr>
              <w:t>–</w:t>
            </w:r>
            <w:r w:rsidRPr="00E85539">
              <w:rPr>
                <w:sz w:val="28"/>
                <w:szCs w:val="28"/>
              </w:rPr>
              <w:t xml:space="preserve"> kāršu spēlēm starp spēlētājiem azartspēļu organizētāja ieņēmumi ir saņemtā komisijas maksa, tad, lai interaktīvo azartspēļu organizētājs </w:t>
            </w:r>
            <w:r w:rsidRPr="00E85539">
              <w:rPr>
                <w:bCs/>
                <w:sz w:val="28"/>
                <w:szCs w:val="28"/>
              </w:rPr>
              <w:t>paziņojuma veidlapu varētu korekti aizpildīt, paziņojuma veidlapā nepi</w:t>
            </w:r>
            <w:r w:rsidRPr="00E85539">
              <w:rPr>
                <w:sz w:val="28"/>
                <w:szCs w:val="28"/>
              </w:rPr>
              <w:t>eciešams paredz</w:t>
            </w:r>
            <w:r w:rsidR="007D6B42" w:rsidRPr="00E85539">
              <w:rPr>
                <w:sz w:val="28"/>
                <w:szCs w:val="28"/>
              </w:rPr>
              <w:t>ēt</w:t>
            </w:r>
            <w:r w:rsidRPr="00E85539">
              <w:rPr>
                <w:sz w:val="28"/>
                <w:szCs w:val="28"/>
              </w:rPr>
              <w:t xml:space="preserve"> interaktīvo azartspēļu organizētājam iespēju norādīt komisijas maksu</w:t>
            </w:r>
            <w:r w:rsidR="00C464CE" w:rsidRPr="00E85539">
              <w:rPr>
                <w:sz w:val="28"/>
                <w:szCs w:val="28"/>
              </w:rPr>
              <w:t xml:space="preserve"> summu</w:t>
            </w:r>
            <w:r w:rsidRPr="00E85539">
              <w:rPr>
                <w:sz w:val="28"/>
                <w:szCs w:val="28"/>
              </w:rPr>
              <w:t xml:space="preserve">, kuru azartspēļu organizētājs saņēmis no </w:t>
            </w:r>
            <w:r w:rsidR="008D033A" w:rsidRPr="00E85539">
              <w:rPr>
                <w:sz w:val="28"/>
                <w:szCs w:val="28"/>
              </w:rPr>
              <w:t xml:space="preserve">interaktīvā vidē organizētajām </w:t>
            </w:r>
            <w:r w:rsidRPr="00E85539">
              <w:rPr>
                <w:sz w:val="28"/>
                <w:szCs w:val="28"/>
              </w:rPr>
              <w:t>kāršu spēlēm starp spēlētājiem</w:t>
            </w:r>
            <w:r w:rsidR="008D033A" w:rsidRPr="00E85539">
              <w:rPr>
                <w:sz w:val="28"/>
                <w:szCs w:val="28"/>
              </w:rPr>
              <w:t>.</w:t>
            </w:r>
            <w:r w:rsidR="00832EAE" w:rsidRPr="00E85539">
              <w:rPr>
                <w:sz w:val="28"/>
                <w:szCs w:val="28"/>
              </w:rPr>
              <w:t xml:space="preserve"> </w:t>
            </w:r>
            <w:r w:rsidR="00FA3E24">
              <w:rPr>
                <w:rFonts w:ascii="Times New Roman" w:hAnsi="Times New Roman"/>
                <w:sz w:val="28"/>
                <w:szCs w:val="28"/>
              </w:rPr>
              <w:t>Ar n</w:t>
            </w:r>
            <w:r w:rsidR="00E85539" w:rsidRPr="00A80CAD">
              <w:rPr>
                <w:rFonts w:ascii="Times New Roman" w:hAnsi="Times New Roman"/>
                <w:sz w:val="28"/>
                <w:szCs w:val="28"/>
              </w:rPr>
              <w:t>oteikumu projekt</w:t>
            </w:r>
            <w:r w:rsidR="00FA3E24">
              <w:rPr>
                <w:rFonts w:ascii="Times New Roman" w:hAnsi="Times New Roman"/>
                <w:sz w:val="28"/>
                <w:szCs w:val="28"/>
              </w:rPr>
              <w:t>u</w:t>
            </w:r>
            <w:r w:rsidR="00E85539" w:rsidRPr="00A80CAD">
              <w:rPr>
                <w:rFonts w:ascii="Times New Roman" w:hAnsi="Times New Roman"/>
                <w:sz w:val="28"/>
                <w:szCs w:val="28"/>
              </w:rPr>
              <w:t xml:space="preserve"> ir </w:t>
            </w:r>
            <w:r w:rsidR="00FA3E24">
              <w:rPr>
                <w:rFonts w:ascii="Times New Roman" w:hAnsi="Times New Roman"/>
                <w:sz w:val="28"/>
                <w:szCs w:val="28"/>
              </w:rPr>
              <w:t xml:space="preserve">paredzēts pilnveidot </w:t>
            </w:r>
            <w:r w:rsidR="00FA3E24" w:rsidRPr="00FA3E24">
              <w:rPr>
                <w:rFonts w:ascii="Times New Roman" w:hAnsi="Times New Roman"/>
                <w:sz w:val="28"/>
                <w:szCs w:val="28"/>
              </w:rPr>
              <w:t>šobrīd spēkā esošajos Ministru kabineta 2007.gada 13.februāra noteikumos Nr.105 „</w:t>
            </w:r>
            <w:r w:rsidR="00FA3E24" w:rsidRPr="00FA3E24">
              <w:rPr>
                <w:rStyle w:val="FontStyle20"/>
                <w:rFonts w:ascii="Times New Roman" w:hAnsi="Times New Roman" w:cs="Times New Roman"/>
                <w:b w:val="0"/>
                <w:sz w:val="28"/>
                <w:szCs w:val="28"/>
              </w:rPr>
              <w:t>Kārtība, kādā interaktīvo azartspēļu un izložu organizētājs iesniedz paziņojumu par pārskata ceturksni</w:t>
            </w:r>
            <w:r w:rsidR="00FA3E24" w:rsidRPr="00FA3E24">
              <w:rPr>
                <w:rFonts w:ascii="Times New Roman" w:hAnsi="Times New Roman"/>
                <w:sz w:val="28"/>
                <w:szCs w:val="28"/>
              </w:rPr>
              <w:t>” noteikto paziņojumu iesniegšanas kārtību un</w:t>
            </w:r>
            <w:r w:rsidR="00FA3E24">
              <w:rPr>
                <w:rFonts w:ascii="Times New Roman" w:hAnsi="Times New Roman"/>
                <w:sz w:val="28"/>
                <w:szCs w:val="28"/>
              </w:rPr>
              <w:t xml:space="preserve"> </w:t>
            </w:r>
            <w:r w:rsidR="00E85539" w:rsidRPr="00A80CAD">
              <w:rPr>
                <w:rFonts w:ascii="Times New Roman" w:hAnsi="Times New Roman"/>
                <w:sz w:val="28"/>
                <w:szCs w:val="28"/>
              </w:rPr>
              <w:t>samazināt iesniedzamo paziņojumu skaitu.</w:t>
            </w:r>
          </w:p>
          <w:p w:rsidR="00C16AEA" w:rsidRPr="00E85539" w:rsidRDefault="00CF7EEC" w:rsidP="002F3DA7">
            <w:pPr>
              <w:pStyle w:val="DefaultParagraphFont1"/>
              <w:jc w:val="both"/>
              <w:rPr>
                <w:rFonts w:ascii="Times New Roman" w:hAnsi="Times New Roman"/>
                <w:sz w:val="28"/>
                <w:szCs w:val="28"/>
              </w:rPr>
            </w:pPr>
            <w:r w:rsidRPr="00E85539">
              <w:rPr>
                <w:rFonts w:ascii="Times New Roman" w:hAnsi="Times New Roman"/>
                <w:sz w:val="28"/>
                <w:szCs w:val="28"/>
              </w:rPr>
              <w:t>Lai tiktu nodrošināts, ka licences saņēmējs paziņojumus un kredītiestādes izziņu</w:t>
            </w:r>
            <w:r w:rsidR="00853633" w:rsidRPr="00E85539">
              <w:rPr>
                <w:rFonts w:ascii="Times New Roman" w:hAnsi="Times New Roman"/>
                <w:sz w:val="28"/>
                <w:szCs w:val="28"/>
              </w:rPr>
              <w:t xml:space="preserve"> par 2015.gada </w:t>
            </w:r>
            <w:r w:rsidR="00F8763C" w:rsidRPr="00E85539">
              <w:rPr>
                <w:rFonts w:ascii="Times New Roman" w:hAnsi="Times New Roman"/>
                <w:sz w:val="28"/>
                <w:szCs w:val="28"/>
              </w:rPr>
              <w:t>otro</w:t>
            </w:r>
            <w:r w:rsidR="00853633" w:rsidRPr="00E85539">
              <w:rPr>
                <w:rFonts w:ascii="Times New Roman" w:hAnsi="Times New Roman"/>
                <w:sz w:val="28"/>
                <w:szCs w:val="28"/>
              </w:rPr>
              <w:t xml:space="preserve"> ceturksni</w:t>
            </w:r>
            <w:r w:rsidRPr="00E85539">
              <w:rPr>
                <w:rFonts w:ascii="Times New Roman" w:hAnsi="Times New Roman"/>
                <w:sz w:val="28"/>
                <w:szCs w:val="28"/>
              </w:rPr>
              <w:t xml:space="preserve"> iesniegtu atbilstoši noteikumu projektā ietvertajiem grozījumiem, noteikumu projektā paredzēts, ka noteikumi stāsies spēkā 2015.gada 1.</w:t>
            </w:r>
            <w:r w:rsidR="00F8763C" w:rsidRPr="00E85539">
              <w:rPr>
                <w:rFonts w:ascii="Times New Roman" w:hAnsi="Times New Roman"/>
                <w:sz w:val="28"/>
                <w:szCs w:val="28"/>
              </w:rPr>
              <w:t>aprīlī</w:t>
            </w:r>
            <w:r w:rsidRPr="00E85539">
              <w:rPr>
                <w:rFonts w:ascii="Times New Roman" w:hAnsi="Times New Roman"/>
                <w:sz w:val="28"/>
                <w:szCs w:val="28"/>
              </w:rPr>
              <w:t>.</w:t>
            </w:r>
            <w:r w:rsidR="00430A21" w:rsidRPr="00E85539">
              <w:rPr>
                <w:rFonts w:ascii="Times New Roman" w:hAnsi="Times New Roman"/>
                <w:sz w:val="28"/>
                <w:szCs w:val="28"/>
              </w:rPr>
              <w:t xml:space="preserve"> </w:t>
            </w:r>
          </w:p>
        </w:tc>
      </w:tr>
      <w:tr w:rsidR="009A0027" w:rsidRPr="00955636" w:rsidTr="00AA038E">
        <w:trPr>
          <w:trHeight w:val="476"/>
        </w:trPr>
        <w:tc>
          <w:tcPr>
            <w:tcW w:w="703" w:type="dxa"/>
          </w:tcPr>
          <w:p w:rsidR="00262E2B" w:rsidRPr="00E85539" w:rsidRDefault="003A3C61" w:rsidP="006D0922">
            <w:pPr>
              <w:pStyle w:val="naiskr"/>
              <w:spacing w:before="0" w:after="0"/>
              <w:jc w:val="center"/>
              <w:rPr>
                <w:sz w:val="28"/>
                <w:szCs w:val="28"/>
              </w:rPr>
            </w:pPr>
            <w:r w:rsidRPr="00E85539">
              <w:rPr>
                <w:sz w:val="28"/>
                <w:szCs w:val="28"/>
              </w:rPr>
              <w:lastRenderedPageBreak/>
              <w:t>3</w:t>
            </w:r>
            <w:r w:rsidR="00262E2B" w:rsidRPr="00E85539">
              <w:rPr>
                <w:sz w:val="28"/>
                <w:szCs w:val="28"/>
              </w:rPr>
              <w:t>.</w:t>
            </w:r>
          </w:p>
        </w:tc>
        <w:tc>
          <w:tcPr>
            <w:tcW w:w="2275" w:type="dxa"/>
          </w:tcPr>
          <w:p w:rsidR="00262E2B" w:rsidRPr="00E85539" w:rsidRDefault="001A4066" w:rsidP="00B84642">
            <w:pPr>
              <w:pStyle w:val="naiskr"/>
              <w:spacing w:before="0" w:after="60"/>
              <w:rPr>
                <w:sz w:val="28"/>
                <w:szCs w:val="28"/>
              </w:rPr>
            </w:pPr>
            <w:r w:rsidRPr="00E85539">
              <w:rPr>
                <w:sz w:val="28"/>
                <w:szCs w:val="28"/>
              </w:rPr>
              <w:t>Projekta i</w:t>
            </w:r>
            <w:r w:rsidR="00262E2B" w:rsidRPr="00E85539">
              <w:rPr>
                <w:sz w:val="28"/>
                <w:szCs w:val="28"/>
              </w:rPr>
              <w:t>zstrād</w:t>
            </w:r>
            <w:r w:rsidR="00420870" w:rsidRPr="00E85539">
              <w:rPr>
                <w:sz w:val="28"/>
                <w:szCs w:val="28"/>
              </w:rPr>
              <w:t xml:space="preserve">ē </w:t>
            </w:r>
            <w:r w:rsidR="00262E2B" w:rsidRPr="00E85539">
              <w:rPr>
                <w:sz w:val="28"/>
                <w:szCs w:val="28"/>
              </w:rPr>
              <w:t>iesaistītās institūcijas</w:t>
            </w:r>
          </w:p>
        </w:tc>
        <w:tc>
          <w:tcPr>
            <w:tcW w:w="6834" w:type="dxa"/>
          </w:tcPr>
          <w:p w:rsidR="009C5659" w:rsidRPr="00E85539" w:rsidRDefault="00FE254C" w:rsidP="00430A21">
            <w:pPr>
              <w:pStyle w:val="naiskr"/>
              <w:spacing w:before="0" w:after="0"/>
              <w:jc w:val="both"/>
              <w:rPr>
                <w:sz w:val="28"/>
                <w:szCs w:val="28"/>
              </w:rPr>
            </w:pPr>
            <w:r w:rsidRPr="00E85539">
              <w:rPr>
                <w:sz w:val="28"/>
                <w:szCs w:val="28"/>
              </w:rPr>
              <w:t>Izložu un azartspēļu uzraudzības inspekcija un Valsts ieņēmumu dienests.</w:t>
            </w:r>
          </w:p>
        </w:tc>
      </w:tr>
      <w:tr w:rsidR="009A0027" w:rsidRPr="00955636" w:rsidTr="00AA038E">
        <w:tc>
          <w:tcPr>
            <w:tcW w:w="703" w:type="dxa"/>
          </w:tcPr>
          <w:p w:rsidR="00262E2B" w:rsidRPr="004D5680" w:rsidRDefault="003A3C61" w:rsidP="006D0922">
            <w:pPr>
              <w:pStyle w:val="naiskr"/>
              <w:spacing w:before="0" w:after="0"/>
              <w:jc w:val="center"/>
              <w:rPr>
                <w:sz w:val="28"/>
                <w:szCs w:val="28"/>
              </w:rPr>
            </w:pPr>
            <w:r w:rsidRPr="004D5680">
              <w:rPr>
                <w:sz w:val="28"/>
                <w:szCs w:val="28"/>
              </w:rPr>
              <w:t>4</w:t>
            </w:r>
            <w:r w:rsidR="00262E2B" w:rsidRPr="004D5680">
              <w:rPr>
                <w:sz w:val="28"/>
                <w:szCs w:val="28"/>
              </w:rPr>
              <w:t>.</w:t>
            </w:r>
          </w:p>
        </w:tc>
        <w:tc>
          <w:tcPr>
            <w:tcW w:w="2275" w:type="dxa"/>
          </w:tcPr>
          <w:p w:rsidR="00262E2B" w:rsidRPr="004D5680" w:rsidRDefault="00262E2B" w:rsidP="00FB5BAF">
            <w:pPr>
              <w:pStyle w:val="naiskr"/>
              <w:spacing w:before="0" w:after="0"/>
              <w:rPr>
                <w:sz w:val="28"/>
                <w:szCs w:val="28"/>
              </w:rPr>
            </w:pPr>
            <w:r w:rsidRPr="004D5680">
              <w:rPr>
                <w:sz w:val="28"/>
                <w:szCs w:val="28"/>
              </w:rPr>
              <w:t>Cita informācija</w:t>
            </w:r>
          </w:p>
        </w:tc>
        <w:tc>
          <w:tcPr>
            <w:tcW w:w="6834" w:type="dxa"/>
          </w:tcPr>
          <w:p w:rsidR="00F00FA3" w:rsidRPr="004D5680" w:rsidRDefault="00FE254C" w:rsidP="008D2EC0">
            <w:pPr>
              <w:jc w:val="both"/>
              <w:rPr>
                <w:sz w:val="28"/>
                <w:szCs w:val="28"/>
              </w:rPr>
            </w:pPr>
            <w:r w:rsidRPr="004D5680">
              <w:rPr>
                <w:sz w:val="28"/>
                <w:szCs w:val="28"/>
              </w:rPr>
              <w:t>Nav</w:t>
            </w:r>
          </w:p>
        </w:tc>
      </w:tr>
    </w:tbl>
    <w:p w:rsidR="00852042" w:rsidRPr="004D5680" w:rsidRDefault="00852042" w:rsidP="006D0922">
      <w:pPr>
        <w:pStyle w:val="naisf"/>
        <w:spacing w:before="0" w:after="0"/>
        <w:ind w:firstLine="0"/>
        <w:rPr>
          <w:sz w:val="28"/>
          <w:szCs w:val="28"/>
        </w:rPr>
      </w:pPr>
    </w:p>
    <w:p w:rsidR="009D4EF6" w:rsidRPr="004D5680" w:rsidRDefault="009D4EF6" w:rsidP="006D0922">
      <w:pPr>
        <w:pStyle w:val="naisf"/>
        <w:spacing w:before="0" w:after="0"/>
        <w:ind w:firstLine="0"/>
        <w:rPr>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21"/>
        <w:gridCol w:w="3283"/>
        <w:gridCol w:w="5930"/>
      </w:tblGrid>
      <w:tr w:rsidR="009A0027" w:rsidRPr="00955636" w:rsidTr="004D5680">
        <w:trPr>
          <w:jc w:val="center"/>
        </w:trPr>
        <w:tc>
          <w:tcPr>
            <w:tcW w:w="9634" w:type="dxa"/>
            <w:gridSpan w:val="3"/>
          </w:tcPr>
          <w:p w:rsidR="00FE4973" w:rsidRPr="004D5680" w:rsidRDefault="00FE4973" w:rsidP="00097549">
            <w:pPr>
              <w:pStyle w:val="naisnod"/>
              <w:spacing w:before="0" w:after="60"/>
              <w:rPr>
                <w:sz w:val="28"/>
                <w:szCs w:val="28"/>
              </w:rPr>
            </w:pPr>
            <w:r w:rsidRPr="004D5680">
              <w:rPr>
                <w:sz w:val="28"/>
                <w:szCs w:val="28"/>
              </w:rPr>
              <w:t>II.</w:t>
            </w:r>
            <w:r w:rsidRPr="004D5680">
              <w:rPr>
                <w:bCs w:val="0"/>
                <w:sz w:val="28"/>
                <w:szCs w:val="28"/>
              </w:rPr>
              <w:t xml:space="preserve"> Tiesību akta projekta ietekme uz sabiedrību, tautsaimniecības attīstību un administratīvo slogu</w:t>
            </w:r>
          </w:p>
        </w:tc>
      </w:tr>
      <w:tr w:rsidR="009A0027" w:rsidRPr="00955636" w:rsidTr="004D5680">
        <w:trPr>
          <w:jc w:val="center"/>
        </w:trPr>
        <w:tc>
          <w:tcPr>
            <w:tcW w:w="421" w:type="dxa"/>
          </w:tcPr>
          <w:p w:rsidR="00FE4973" w:rsidRPr="004D5680" w:rsidRDefault="00FE4973" w:rsidP="006D0922">
            <w:pPr>
              <w:pStyle w:val="naiskr"/>
              <w:tabs>
                <w:tab w:val="left" w:pos="2628"/>
              </w:tabs>
              <w:spacing w:before="0" w:after="0"/>
              <w:jc w:val="center"/>
              <w:rPr>
                <w:iCs/>
                <w:sz w:val="28"/>
                <w:szCs w:val="28"/>
              </w:rPr>
            </w:pPr>
            <w:r w:rsidRPr="004D5680">
              <w:rPr>
                <w:iCs/>
                <w:sz w:val="28"/>
                <w:szCs w:val="28"/>
              </w:rPr>
              <w:t>1.</w:t>
            </w:r>
          </w:p>
        </w:tc>
        <w:tc>
          <w:tcPr>
            <w:tcW w:w="3283" w:type="dxa"/>
          </w:tcPr>
          <w:p w:rsidR="00FE4973" w:rsidRPr="004D5680" w:rsidRDefault="00FE4973" w:rsidP="006D0922">
            <w:pPr>
              <w:pStyle w:val="naiskr"/>
              <w:spacing w:before="0" w:after="0"/>
              <w:rPr>
                <w:iCs/>
                <w:sz w:val="28"/>
                <w:szCs w:val="28"/>
              </w:rPr>
            </w:pPr>
            <w:r w:rsidRPr="004D5680">
              <w:rPr>
                <w:sz w:val="28"/>
                <w:szCs w:val="28"/>
              </w:rPr>
              <w:t>Sabiedrības mērķgrupas, kuras tiesiskais regulējums ietekmē vai varētu ietekmēt</w:t>
            </w:r>
          </w:p>
        </w:tc>
        <w:tc>
          <w:tcPr>
            <w:tcW w:w="5930" w:type="dxa"/>
          </w:tcPr>
          <w:p w:rsidR="003667AD" w:rsidRPr="004D5680" w:rsidRDefault="00460A78" w:rsidP="00AF6A06">
            <w:pPr>
              <w:pStyle w:val="naiskr"/>
              <w:tabs>
                <w:tab w:val="left" w:pos="360"/>
              </w:tabs>
              <w:spacing w:before="0" w:after="0"/>
              <w:jc w:val="both"/>
              <w:rPr>
                <w:sz w:val="28"/>
                <w:szCs w:val="28"/>
              </w:rPr>
            </w:pPr>
            <w:r w:rsidRPr="00E85539">
              <w:rPr>
                <w:sz w:val="28"/>
                <w:szCs w:val="28"/>
              </w:rPr>
              <w:t>Izložu un azartspēļu uzraudzības inspekcija</w:t>
            </w:r>
            <w:r>
              <w:rPr>
                <w:sz w:val="28"/>
                <w:szCs w:val="28"/>
              </w:rPr>
              <w:t>, Valsts ieņēmumu dienests un</w:t>
            </w:r>
            <w:r w:rsidRPr="004D5680">
              <w:rPr>
                <w:sz w:val="28"/>
                <w:szCs w:val="28"/>
              </w:rPr>
              <w:t xml:space="preserve"> </w:t>
            </w:r>
            <w:r>
              <w:rPr>
                <w:sz w:val="28"/>
                <w:szCs w:val="28"/>
              </w:rPr>
              <w:t>k</w:t>
            </w:r>
            <w:r w:rsidR="00381D9E" w:rsidRPr="004D5680">
              <w:rPr>
                <w:sz w:val="28"/>
                <w:szCs w:val="28"/>
              </w:rPr>
              <w:t xml:space="preserve">apitālsabiedrības, kas organizē interaktīvās azartspēles. Latvijā šobrīd ir </w:t>
            </w:r>
            <w:r w:rsidR="00AF6A06">
              <w:rPr>
                <w:sz w:val="28"/>
                <w:szCs w:val="28"/>
              </w:rPr>
              <w:t>6</w:t>
            </w:r>
            <w:r w:rsidR="00381D9E" w:rsidRPr="004D5680">
              <w:rPr>
                <w:sz w:val="28"/>
                <w:szCs w:val="28"/>
              </w:rPr>
              <w:t xml:space="preserve"> šādi azartspēļu organizētāji.</w:t>
            </w:r>
          </w:p>
        </w:tc>
      </w:tr>
      <w:tr w:rsidR="009A0027" w:rsidRPr="00955636" w:rsidTr="004D5680">
        <w:trPr>
          <w:jc w:val="center"/>
        </w:trPr>
        <w:tc>
          <w:tcPr>
            <w:tcW w:w="421" w:type="dxa"/>
          </w:tcPr>
          <w:p w:rsidR="00FE4973" w:rsidRPr="004D5680" w:rsidRDefault="00FE4973" w:rsidP="006D0922">
            <w:pPr>
              <w:pStyle w:val="naiskr"/>
              <w:tabs>
                <w:tab w:val="left" w:pos="2628"/>
              </w:tabs>
              <w:spacing w:before="0" w:after="0"/>
              <w:jc w:val="center"/>
              <w:rPr>
                <w:iCs/>
                <w:sz w:val="28"/>
                <w:szCs w:val="28"/>
              </w:rPr>
            </w:pPr>
            <w:r w:rsidRPr="004D5680">
              <w:rPr>
                <w:iCs/>
                <w:sz w:val="28"/>
                <w:szCs w:val="28"/>
              </w:rPr>
              <w:t>2.</w:t>
            </w:r>
          </w:p>
        </w:tc>
        <w:tc>
          <w:tcPr>
            <w:tcW w:w="3283" w:type="dxa"/>
          </w:tcPr>
          <w:p w:rsidR="00FE4973" w:rsidRPr="004D5680" w:rsidRDefault="00FE4973" w:rsidP="006D0922">
            <w:pPr>
              <w:pStyle w:val="naiskr"/>
              <w:spacing w:before="0" w:after="0"/>
              <w:rPr>
                <w:sz w:val="28"/>
                <w:szCs w:val="28"/>
              </w:rPr>
            </w:pPr>
            <w:r w:rsidRPr="004D5680">
              <w:rPr>
                <w:sz w:val="28"/>
                <w:szCs w:val="28"/>
              </w:rPr>
              <w:t>Tiesiskā regulējuma ietekme uz tautsaimniecību un administratīvo slogu</w:t>
            </w:r>
          </w:p>
        </w:tc>
        <w:tc>
          <w:tcPr>
            <w:tcW w:w="5930" w:type="dxa"/>
          </w:tcPr>
          <w:p w:rsidR="00D42CF8" w:rsidRPr="004D5680" w:rsidRDefault="00460A78" w:rsidP="001B0528">
            <w:pPr>
              <w:pStyle w:val="naiskr"/>
              <w:tabs>
                <w:tab w:val="left" w:pos="283"/>
              </w:tabs>
              <w:spacing w:before="0" w:after="0"/>
              <w:jc w:val="both"/>
              <w:rPr>
                <w:sz w:val="28"/>
                <w:szCs w:val="28"/>
              </w:rPr>
            </w:pPr>
            <w:r w:rsidRPr="00E85539">
              <w:rPr>
                <w:sz w:val="28"/>
                <w:szCs w:val="28"/>
              </w:rPr>
              <w:t>Izložu un azartspēļu uzraudzības inspekcija</w:t>
            </w:r>
            <w:r>
              <w:rPr>
                <w:sz w:val="28"/>
                <w:szCs w:val="28"/>
              </w:rPr>
              <w:t>i, Valsts ieņēmumu dienestam un k</w:t>
            </w:r>
            <w:r w:rsidR="001F77D9" w:rsidRPr="004D5680">
              <w:rPr>
                <w:sz w:val="28"/>
                <w:szCs w:val="28"/>
              </w:rPr>
              <w:t xml:space="preserve">apitālsabiedrībām, kas organizē interaktīvās azartspēles, samazināsies administratīvais slogs, </w:t>
            </w:r>
            <w:r w:rsidR="001F77D9">
              <w:rPr>
                <w:sz w:val="28"/>
                <w:szCs w:val="28"/>
              </w:rPr>
              <w:t>jo</w:t>
            </w:r>
            <w:r w:rsidR="00956C23">
              <w:rPr>
                <w:sz w:val="28"/>
                <w:szCs w:val="28"/>
              </w:rPr>
              <w:t xml:space="preserve"> ar n</w:t>
            </w:r>
            <w:r w:rsidR="00956C23" w:rsidRPr="00A80CAD">
              <w:rPr>
                <w:sz w:val="28"/>
                <w:szCs w:val="28"/>
              </w:rPr>
              <w:t>oteikumu projekt</w:t>
            </w:r>
            <w:r w:rsidR="00956C23">
              <w:rPr>
                <w:sz w:val="28"/>
                <w:szCs w:val="28"/>
              </w:rPr>
              <w:t>u</w:t>
            </w:r>
            <w:r w:rsidR="00956C23" w:rsidRPr="00A80CAD">
              <w:rPr>
                <w:sz w:val="28"/>
                <w:szCs w:val="28"/>
              </w:rPr>
              <w:t xml:space="preserve"> </w:t>
            </w:r>
            <w:r w:rsidR="00956C23">
              <w:rPr>
                <w:sz w:val="28"/>
                <w:szCs w:val="28"/>
              </w:rPr>
              <w:t xml:space="preserve">tiks pilnveidota </w:t>
            </w:r>
            <w:r w:rsidR="00956C23" w:rsidRPr="00FA3E24">
              <w:rPr>
                <w:sz w:val="28"/>
                <w:szCs w:val="28"/>
              </w:rPr>
              <w:t>šobrīd spēkā esošajos Ministru kabineta 2007.gada 13.februāra noteikumos Nr.105 „</w:t>
            </w:r>
            <w:r w:rsidR="00956C23" w:rsidRPr="00FA3E24">
              <w:rPr>
                <w:rStyle w:val="FontStyle20"/>
                <w:rFonts w:ascii="Times New Roman" w:hAnsi="Times New Roman" w:cs="Times New Roman"/>
                <w:b w:val="0"/>
                <w:sz w:val="28"/>
                <w:szCs w:val="28"/>
              </w:rPr>
              <w:t>Kārtība, kādā interaktīvo azartspēļu un izložu organizētājs iesniedz paziņojumu par pārskata ceturksni</w:t>
            </w:r>
            <w:r w:rsidR="00956C23" w:rsidRPr="00FA3E24">
              <w:rPr>
                <w:sz w:val="28"/>
                <w:szCs w:val="28"/>
              </w:rPr>
              <w:t>” noteikt</w:t>
            </w:r>
            <w:r w:rsidR="001F77D9">
              <w:rPr>
                <w:sz w:val="28"/>
                <w:szCs w:val="28"/>
              </w:rPr>
              <w:t>ā</w:t>
            </w:r>
            <w:r w:rsidR="00956C23" w:rsidRPr="00FA3E24">
              <w:rPr>
                <w:sz w:val="28"/>
                <w:szCs w:val="28"/>
              </w:rPr>
              <w:t xml:space="preserve"> paziņojumu iesniegšanas kārt</w:t>
            </w:r>
            <w:r w:rsidR="00956C23">
              <w:rPr>
                <w:sz w:val="28"/>
                <w:szCs w:val="28"/>
              </w:rPr>
              <w:t xml:space="preserve">ība </w:t>
            </w:r>
            <w:r w:rsidR="00956C23" w:rsidRPr="00FA3E24">
              <w:rPr>
                <w:sz w:val="28"/>
                <w:szCs w:val="28"/>
              </w:rPr>
              <w:t>un</w:t>
            </w:r>
            <w:r w:rsidR="00956C23">
              <w:rPr>
                <w:sz w:val="28"/>
                <w:szCs w:val="28"/>
              </w:rPr>
              <w:t xml:space="preserve"> </w:t>
            </w:r>
            <w:r w:rsidR="001B0528">
              <w:rPr>
                <w:sz w:val="28"/>
                <w:szCs w:val="28"/>
              </w:rPr>
              <w:t xml:space="preserve">tiks </w:t>
            </w:r>
            <w:r w:rsidR="00956C23" w:rsidRPr="00A80CAD">
              <w:rPr>
                <w:sz w:val="28"/>
                <w:szCs w:val="28"/>
              </w:rPr>
              <w:t>samazināt</w:t>
            </w:r>
            <w:r w:rsidR="00956C23">
              <w:rPr>
                <w:sz w:val="28"/>
                <w:szCs w:val="28"/>
              </w:rPr>
              <w:t>s</w:t>
            </w:r>
            <w:r w:rsidR="001B0528">
              <w:rPr>
                <w:sz w:val="28"/>
                <w:szCs w:val="28"/>
              </w:rPr>
              <w:t xml:space="preserve"> interaktīvo </w:t>
            </w:r>
            <w:r w:rsidR="001B0528" w:rsidRPr="00FA3E24">
              <w:rPr>
                <w:rStyle w:val="FontStyle20"/>
                <w:rFonts w:ascii="Times New Roman" w:hAnsi="Times New Roman" w:cs="Times New Roman"/>
                <w:b w:val="0"/>
                <w:sz w:val="28"/>
                <w:szCs w:val="28"/>
              </w:rPr>
              <w:t>azartspēļu</w:t>
            </w:r>
            <w:r w:rsidR="001B0528" w:rsidRPr="00A80CAD">
              <w:rPr>
                <w:sz w:val="28"/>
                <w:szCs w:val="28"/>
              </w:rPr>
              <w:t xml:space="preserve"> </w:t>
            </w:r>
            <w:r w:rsidR="001B0528">
              <w:rPr>
                <w:sz w:val="28"/>
                <w:szCs w:val="28"/>
              </w:rPr>
              <w:lastRenderedPageBreak/>
              <w:t>organizētājiem</w:t>
            </w:r>
            <w:r w:rsidR="001F77D9">
              <w:rPr>
                <w:sz w:val="28"/>
                <w:szCs w:val="28"/>
              </w:rPr>
              <w:t xml:space="preserve"> iesniedzamo paziņojumu skaits. </w:t>
            </w:r>
            <w:r w:rsidR="00983B9F" w:rsidRPr="004D5680">
              <w:rPr>
                <w:sz w:val="28"/>
                <w:szCs w:val="28"/>
              </w:rPr>
              <w:t xml:space="preserve"> </w:t>
            </w:r>
          </w:p>
        </w:tc>
      </w:tr>
      <w:tr w:rsidR="009A0027" w:rsidRPr="00955636" w:rsidTr="004D5680">
        <w:trPr>
          <w:jc w:val="center"/>
        </w:trPr>
        <w:tc>
          <w:tcPr>
            <w:tcW w:w="421" w:type="dxa"/>
          </w:tcPr>
          <w:p w:rsidR="00FE4973" w:rsidRPr="004D5680" w:rsidRDefault="00FE4973" w:rsidP="006D0922">
            <w:pPr>
              <w:pStyle w:val="naiskr"/>
              <w:tabs>
                <w:tab w:val="left" w:pos="2628"/>
              </w:tabs>
              <w:spacing w:before="0" w:after="0"/>
              <w:jc w:val="center"/>
              <w:rPr>
                <w:iCs/>
                <w:sz w:val="28"/>
                <w:szCs w:val="28"/>
              </w:rPr>
            </w:pPr>
            <w:r w:rsidRPr="004D5680">
              <w:rPr>
                <w:iCs/>
                <w:sz w:val="28"/>
                <w:szCs w:val="28"/>
              </w:rPr>
              <w:lastRenderedPageBreak/>
              <w:t>3.</w:t>
            </w:r>
          </w:p>
        </w:tc>
        <w:tc>
          <w:tcPr>
            <w:tcW w:w="3283" w:type="dxa"/>
          </w:tcPr>
          <w:p w:rsidR="00FE4973" w:rsidRPr="004D5680" w:rsidRDefault="00FE4973" w:rsidP="006D0922">
            <w:pPr>
              <w:pStyle w:val="naiskr"/>
              <w:tabs>
                <w:tab w:val="left" w:pos="2628"/>
              </w:tabs>
              <w:spacing w:before="0" w:after="0"/>
              <w:rPr>
                <w:iCs/>
                <w:sz w:val="28"/>
                <w:szCs w:val="28"/>
              </w:rPr>
            </w:pPr>
            <w:r w:rsidRPr="004D5680">
              <w:rPr>
                <w:sz w:val="28"/>
                <w:szCs w:val="28"/>
              </w:rPr>
              <w:t>Administratīvo izmaksu monetārs novērtējums</w:t>
            </w:r>
          </w:p>
        </w:tc>
        <w:tc>
          <w:tcPr>
            <w:tcW w:w="5930" w:type="dxa"/>
          </w:tcPr>
          <w:p w:rsidR="00FE4973" w:rsidRPr="004D5680" w:rsidRDefault="00303F8C" w:rsidP="00506F1D">
            <w:pPr>
              <w:pStyle w:val="naiskr"/>
              <w:tabs>
                <w:tab w:val="left" w:pos="2628"/>
              </w:tabs>
              <w:spacing w:before="0" w:after="120"/>
              <w:jc w:val="both"/>
              <w:rPr>
                <w:iCs/>
                <w:sz w:val="28"/>
                <w:szCs w:val="28"/>
              </w:rPr>
            </w:pPr>
            <w:r w:rsidRPr="004D5680">
              <w:rPr>
                <w:iCs/>
                <w:sz w:val="28"/>
                <w:szCs w:val="28"/>
              </w:rPr>
              <w:t>Projekts šo jomu neskar.</w:t>
            </w:r>
          </w:p>
        </w:tc>
      </w:tr>
      <w:tr w:rsidR="009A0027" w:rsidRPr="00955636" w:rsidTr="004D5680">
        <w:trPr>
          <w:jc w:val="center"/>
        </w:trPr>
        <w:tc>
          <w:tcPr>
            <w:tcW w:w="421" w:type="dxa"/>
          </w:tcPr>
          <w:p w:rsidR="00FE4973" w:rsidRPr="004D5680" w:rsidRDefault="00FE4973" w:rsidP="006D0922">
            <w:pPr>
              <w:pStyle w:val="naiskr"/>
              <w:tabs>
                <w:tab w:val="left" w:pos="2628"/>
              </w:tabs>
              <w:spacing w:before="0" w:after="0"/>
              <w:jc w:val="center"/>
              <w:rPr>
                <w:iCs/>
                <w:sz w:val="28"/>
                <w:szCs w:val="28"/>
              </w:rPr>
            </w:pPr>
            <w:r w:rsidRPr="004D5680">
              <w:rPr>
                <w:iCs/>
                <w:sz w:val="28"/>
                <w:szCs w:val="28"/>
              </w:rPr>
              <w:t>4.</w:t>
            </w:r>
          </w:p>
        </w:tc>
        <w:tc>
          <w:tcPr>
            <w:tcW w:w="3283" w:type="dxa"/>
          </w:tcPr>
          <w:p w:rsidR="00FE4973" w:rsidRPr="004D5680" w:rsidRDefault="00FE4973" w:rsidP="006D0922">
            <w:pPr>
              <w:pStyle w:val="naiskr"/>
              <w:tabs>
                <w:tab w:val="left" w:pos="2628"/>
              </w:tabs>
              <w:spacing w:before="0" w:after="0"/>
              <w:rPr>
                <w:sz w:val="28"/>
                <w:szCs w:val="28"/>
              </w:rPr>
            </w:pPr>
            <w:r w:rsidRPr="004D5680">
              <w:rPr>
                <w:sz w:val="28"/>
                <w:szCs w:val="28"/>
              </w:rPr>
              <w:t>Cita informācija</w:t>
            </w:r>
          </w:p>
        </w:tc>
        <w:tc>
          <w:tcPr>
            <w:tcW w:w="5930" w:type="dxa"/>
          </w:tcPr>
          <w:p w:rsidR="00FE4973" w:rsidRPr="004D5680" w:rsidRDefault="00F64A42" w:rsidP="00506F1D">
            <w:pPr>
              <w:pStyle w:val="naiskr"/>
              <w:tabs>
                <w:tab w:val="left" w:pos="2628"/>
              </w:tabs>
              <w:spacing w:before="0" w:after="120"/>
              <w:jc w:val="both"/>
              <w:rPr>
                <w:sz w:val="28"/>
                <w:szCs w:val="28"/>
              </w:rPr>
            </w:pPr>
            <w:r w:rsidRPr="004D5680">
              <w:rPr>
                <w:sz w:val="28"/>
                <w:szCs w:val="28"/>
              </w:rPr>
              <w:t>Nav.</w:t>
            </w:r>
          </w:p>
        </w:tc>
      </w:tr>
    </w:tbl>
    <w:p w:rsidR="00E62175" w:rsidRPr="004D5680" w:rsidRDefault="00E62175" w:rsidP="006D0922">
      <w:pPr>
        <w:pStyle w:val="naisf"/>
        <w:spacing w:before="0" w:after="0"/>
        <w:ind w:firstLine="0"/>
        <w:rPr>
          <w:sz w:val="28"/>
          <w:szCs w:val="28"/>
        </w:rPr>
      </w:pPr>
    </w:p>
    <w:p w:rsidR="00ED152D" w:rsidRPr="004D5680" w:rsidRDefault="00ED152D" w:rsidP="006D0922">
      <w:pPr>
        <w:pStyle w:val="naisf"/>
        <w:spacing w:before="0" w:after="0"/>
        <w:ind w:firstLine="0"/>
        <w:rPr>
          <w:sz w:val="28"/>
          <w:szCs w:val="28"/>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57"/>
        <w:gridCol w:w="3010"/>
        <w:gridCol w:w="6082"/>
      </w:tblGrid>
      <w:tr w:rsidR="00715B73" w:rsidRPr="00955636" w:rsidTr="00ED152D">
        <w:trPr>
          <w:jc w:val="center"/>
        </w:trPr>
        <w:tc>
          <w:tcPr>
            <w:tcW w:w="9649" w:type="dxa"/>
            <w:gridSpan w:val="3"/>
          </w:tcPr>
          <w:p w:rsidR="00715B73" w:rsidRPr="004D5680" w:rsidRDefault="00715B73" w:rsidP="00A13940">
            <w:pPr>
              <w:pStyle w:val="naisnod"/>
              <w:spacing w:before="0" w:after="60"/>
              <w:rPr>
                <w:sz w:val="28"/>
                <w:szCs w:val="28"/>
              </w:rPr>
            </w:pPr>
            <w:r w:rsidRPr="004D5680">
              <w:rPr>
                <w:sz w:val="28"/>
                <w:szCs w:val="28"/>
              </w:rPr>
              <w:t xml:space="preserve">VI. </w:t>
            </w:r>
            <w:r w:rsidRPr="004D5680">
              <w:rPr>
                <w:bCs w:val="0"/>
                <w:sz w:val="28"/>
                <w:szCs w:val="28"/>
              </w:rPr>
              <w:t>Sabiedrības līdzdalība un komunikācijas aktivitātes</w:t>
            </w:r>
          </w:p>
        </w:tc>
      </w:tr>
      <w:tr w:rsidR="00715B73" w:rsidRPr="00955636" w:rsidTr="00ED152D">
        <w:trPr>
          <w:jc w:val="center"/>
        </w:trPr>
        <w:tc>
          <w:tcPr>
            <w:tcW w:w="557" w:type="dxa"/>
          </w:tcPr>
          <w:p w:rsidR="00715B73" w:rsidRPr="004D5680" w:rsidRDefault="00715B73" w:rsidP="00A13940">
            <w:pPr>
              <w:pStyle w:val="naiskr"/>
              <w:tabs>
                <w:tab w:val="left" w:pos="2628"/>
              </w:tabs>
              <w:spacing w:before="0" w:after="0"/>
              <w:jc w:val="center"/>
              <w:rPr>
                <w:iCs/>
                <w:sz w:val="28"/>
                <w:szCs w:val="28"/>
              </w:rPr>
            </w:pPr>
            <w:r w:rsidRPr="004D5680">
              <w:rPr>
                <w:iCs/>
                <w:sz w:val="28"/>
                <w:szCs w:val="28"/>
              </w:rPr>
              <w:t>1.</w:t>
            </w:r>
          </w:p>
        </w:tc>
        <w:tc>
          <w:tcPr>
            <w:tcW w:w="3010" w:type="dxa"/>
          </w:tcPr>
          <w:p w:rsidR="00715B73" w:rsidRPr="004D5680" w:rsidRDefault="00715B73" w:rsidP="00A13940">
            <w:pPr>
              <w:pStyle w:val="naiskr"/>
              <w:tabs>
                <w:tab w:val="left" w:pos="2628"/>
              </w:tabs>
              <w:spacing w:before="0" w:after="60"/>
              <w:rPr>
                <w:iCs/>
                <w:sz w:val="28"/>
                <w:szCs w:val="28"/>
              </w:rPr>
            </w:pPr>
            <w:r w:rsidRPr="004D5680">
              <w:rPr>
                <w:sz w:val="28"/>
                <w:szCs w:val="28"/>
              </w:rPr>
              <w:t>Plānotās sabiedrības līdzdalības un komunikācijas aktivitātes saistībā ar projektu</w:t>
            </w:r>
          </w:p>
        </w:tc>
        <w:tc>
          <w:tcPr>
            <w:tcW w:w="6082" w:type="dxa"/>
          </w:tcPr>
          <w:p w:rsidR="00715B73" w:rsidRPr="004D5680" w:rsidRDefault="00E85539" w:rsidP="00A13940">
            <w:pPr>
              <w:pStyle w:val="naiskr"/>
              <w:tabs>
                <w:tab w:val="left" w:pos="2628"/>
              </w:tabs>
              <w:spacing w:before="0" w:after="120"/>
              <w:jc w:val="both"/>
              <w:rPr>
                <w:iCs/>
                <w:sz w:val="28"/>
                <w:szCs w:val="28"/>
              </w:rPr>
            </w:pPr>
            <w:r>
              <w:rPr>
                <w:sz w:val="28"/>
                <w:szCs w:val="28"/>
              </w:rPr>
              <w:t>Sabiedrības informēšanai projekts publicēts Finanšu ministrijas mājaslapā interneta sadaļā Sabiedrības līdzdalība.</w:t>
            </w:r>
          </w:p>
        </w:tc>
      </w:tr>
      <w:tr w:rsidR="00715B73" w:rsidRPr="00955636" w:rsidTr="00ED152D">
        <w:trPr>
          <w:jc w:val="center"/>
        </w:trPr>
        <w:tc>
          <w:tcPr>
            <w:tcW w:w="557" w:type="dxa"/>
          </w:tcPr>
          <w:p w:rsidR="00715B73" w:rsidRPr="004D5680" w:rsidRDefault="00715B73" w:rsidP="00A13940">
            <w:pPr>
              <w:pStyle w:val="naiskr"/>
              <w:tabs>
                <w:tab w:val="left" w:pos="2628"/>
              </w:tabs>
              <w:spacing w:before="0" w:after="0"/>
              <w:jc w:val="center"/>
              <w:rPr>
                <w:iCs/>
                <w:sz w:val="28"/>
                <w:szCs w:val="28"/>
              </w:rPr>
            </w:pPr>
            <w:r w:rsidRPr="004D5680">
              <w:rPr>
                <w:iCs/>
                <w:sz w:val="28"/>
                <w:szCs w:val="28"/>
              </w:rPr>
              <w:t>2.</w:t>
            </w:r>
          </w:p>
        </w:tc>
        <w:tc>
          <w:tcPr>
            <w:tcW w:w="3010" w:type="dxa"/>
          </w:tcPr>
          <w:p w:rsidR="00715B73" w:rsidRPr="004D5680" w:rsidRDefault="00715B73" w:rsidP="00A13940">
            <w:pPr>
              <w:pStyle w:val="naiskr"/>
              <w:tabs>
                <w:tab w:val="left" w:pos="2628"/>
              </w:tabs>
              <w:spacing w:before="0" w:after="0"/>
              <w:rPr>
                <w:sz w:val="28"/>
                <w:szCs w:val="28"/>
              </w:rPr>
            </w:pPr>
            <w:r w:rsidRPr="004D5680">
              <w:rPr>
                <w:sz w:val="28"/>
                <w:szCs w:val="28"/>
              </w:rPr>
              <w:t>Sabiedrības līdzdalība projekta izstrādē</w:t>
            </w:r>
          </w:p>
        </w:tc>
        <w:tc>
          <w:tcPr>
            <w:tcW w:w="6082" w:type="dxa"/>
          </w:tcPr>
          <w:p w:rsidR="00715B73" w:rsidRPr="004D5680" w:rsidRDefault="00E85539" w:rsidP="00A13940">
            <w:pPr>
              <w:jc w:val="both"/>
              <w:rPr>
                <w:sz w:val="28"/>
                <w:szCs w:val="28"/>
              </w:rPr>
            </w:pPr>
            <w:r>
              <w:rPr>
                <w:sz w:val="28"/>
                <w:szCs w:val="28"/>
              </w:rPr>
              <w:t>Projekts saskaņojams ar Latvijas Darba devēju konfederāciju.</w:t>
            </w:r>
          </w:p>
        </w:tc>
      </w:tr>
      <w:tr w:rsidR="00715B73" w:rsidRPr="00955636" w:rsidTr="00ED152D">
        <w:trPr>
          <w:jc w:val="center"/>
        </w:trPr>
        <w:tc>
          <w:tcPr>
            <w:tcW w:w="557" w:type="dxa"/>
          </w:tcPr>
          <w:p w:rsidR="00715B73" w:rsidRPr="004D5680" w:rsidRDefault="00715B73" w:rsidP="00A13940">
            <w:pPr>
              <w:pStyle w:val="naiskr"/>
              <w:tabs>
                <w:tab w:val="left" w:pos="2628"/>
              </w:tabs>
              <w:spacing w:before="0" w:after="0"/>
              <w:jc w:val="center"/>
              <w:rPr>
                <w:iCs/>
                <w:sz w:val="28"/>
                <w:szCs w:val="28"/>
              </w:rPr>
            </w:pPr>
            <w:r w:rsidRPr="004D5680">
              <w:rPr>
                <w:iCs/>
                <w:sz w:val="28"/>
                <w:szCs w:val="28"/>
              </w:rPr>
              <w:t>3.</w:t>
            </w:r>
          </w:p>
        </w:tc>
        <w:tc>
          <w:tcPr>
            <w:tcW w:w="3010" w:type="dxa"/>
          </w:tcPr>
          <w:p w:rsidR="00715B73" w:rsidRPr="004D5680" w:rsidRDefault="00715B73" w:rsidP="00A13940">
            <w:pPr>
              <w:pStyle w:val="naiskr"/>
              <w:tabs>
                <w:tab w:val="left" w:pos="2628"/>
              </w:tabs>
              <w:spacing w:before="0" w:after="120"/>
              <w:rPr>
                <w:iCs/>
                <w:sz w:val="28"/>
                <w:szCs w:val="28"/>
              </w:rPr>
            </w:pPr>
            <w:r w:rsidRPr="004D5680">
              <w:rPr>
                <w:sz w:val="28"/>
                <w:szCs w:val="28"/>
              </w:rPr>
              <w:t>Sabiedrības līdzdalības rezultāti</w:t>
            </w:r>
          </w:p>
        </w:tc>
        <w:tc>
          <w:tcPr>
            <w:tcW w:w="6082" w:type="dxa"/>
          </w:tcPr>
          <w:p w:rsidR="00715B73" w:rsidRPr="004D5680" w:rsidRDefault="00E85539" w:rsidP="00460A78">
            <w:pPr>
              <w:pStyle w:val="naiskr"/>
              <w:tabs>
                <w:tab w:val="left" w:pos="2628"/>
              </w:tabs>
              <w:spacing w:before="0" w:after="120"/>
              <w:jc w:val="both"/>
              <w:rPr>
                <w:iCs/>
                <w:sz w:val="28"/>
                <w:szCs w:val="28"/>
              </w:rPr>
            </w:pPr>
            <w:r>
              <w:rPr>
                <w:sz w:val="28"/>
                <w:szCs w:val="28"/>
              </w:rPr>
              <w:t>Latvijas Darba devēju konfederācij</w:t>
            </w:r>
            <w:r w:rsidR="00460A78">
              <w:rPr>
                <w:sz w:val="28"/>
                <w:szCs w:val="28"/>
              </w:rPr>
              <w:t>a atbalsta projektu izstrādātajā redakcijā</w:t>
            </w:r>
            <w:r>
              <w:rPr>
                <w:sz w:val="28"/>
                <w:szCs w:val="28"/>
              </w:rPr>
              <w:t>.</w:t>
            </w:r>
          </w:p>
        </w:tc>
      </w:tr>
      <w:tr w:rsidR="00715B73" w:rsidRPr="00955636" w:rsidTr="00ED152D">
        <w:trPr>
          <w:jc w:val="center"/>
        </w:trPr>
        <w:tc>
          <w:tcPr>
            <w:tcW w:w="557" w:type="dxa"/>
          </w:tcPr>
          <w:p w:rsidR="00715B73" w:rsidRPr="004D5680" w:rsidRDefault="00715B73" w:rsidP="00A13940">
            <w:pPr>
              <w:pStyle w:val="naiskr"/>
              <w:tabs>
                <w:tab w:val="left" w:pos="2628"/>
              </w:tabs>
              <w:spacing w:before="0" w:after="0"/>
              <w:jc w:val="center"/>
              <w:rPr>
                <w:iCs/>
                <w:sz w:val="28"/>
                <w:szCs w:val="28"/>
              </w:rPr>
            </w:pPr>
            <w:r w:rsidRPr="004D5680">
              <w:rPr>
                <w:iCs/>
                <w:sz w:val="28"/>
                <w:szCs w:val="28"/>
              </w:rPr>
              <w:t>4.</w:t>
            </w:r>
          </w:p>
        </w:tc>
        <w:tc>
          <w:tcPr>
            <w:tcW w:w="3010" w:type="dxa"/>
          </w:tcPr>
          <w:p w:rsidR="00715B73" w:rsidRPr="004D5680" w:rsidRDefault="00715B73" w:rsidP="00A13940">
            <w:pPr>
              <w:pStyle w:val="naiskr"/>
              <w:tabs>
                <w:tab w:val="left" w:pos="2628"/>
              </w:tabs>
              <w:spacing w:before="0" w:after="60"/>
              <w:rPr>
                <w:sz w:val="28"/>
                <w:szCs w:val="28"/>
              </w:rPr>
            </w:pPr>
            <w:r w:rsidRPr="004D5680">
              <w:rPr>
                <w:sz w:val="28"/>
                <w:szCs w:val="28"/>
              </w:rPr>
              <w:t>Cita informācija</w:t>
            </w:r>
          </w:p>
        </w:tc>
        <w:tc>
          <w:tcPr>
            <w:tcW w:w="6082" w:type="dxa"/>
          </w:tcPr>
          <w:p w:rsidR="00715B73" w:rsidRPr="004D5680" w:rsidRDefault="00715B73" w:rsidP="00A13940">
            <w:pPr>
              <w:pStyle w:val="naiskr"/>
              <w:tabs>
                <w:tab w:val="left" w:pos="2628"/>
              </w:tabs>
              <w:spacing w:before="0" w:after="120"/>
              <w:jc w:val="both"/>
              <w:rPr>
                <w:sz w:val="28"/>
                <w:szCs w:val="28"/>
              </w:rPr>
            </w:pPr>
            <w:r w:rsidRPr="004D5680">
              <w:rPr>
                <w:sz w:val="28"/>
                <w:szCs w:val="28"/>
              </w:rPr>
              <w:t>Nav.</w:t>
            </w:r>
          </w:p>
        </w:tc>
      </w:tr>
    </w:tbl>
    <w:p w:rsidR="00715B73" w:rsidRPr="004D5680" w:rsidRDefault="00715B73" w:rsidP="006D0922">
      <w:pPr>
        <w:pStyle w:val="naisf"/>
        <w:spacing w:before="0" w:after="0"/>
        <w:ind w:firstLine="0"/>
        <w:rPr>
          <w:sz w:val="28"/>
          <w:szCs w:val="28"/>
        </w:rPr>
      </w:pPr>
    </w:p>
    <w:tbl>
      <w:tblPr>
        <w:tblpPr w:leftFromText="180" w:rightFromText="180" w:vertAnchor="text" w:horzAnchor="margin" w:tblpX="-254" w:tblpY="212"/>
        <w:tblW w:w="529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97"/>
        <w:gridCol w:w="3118"/>
        <w:gridCol w:w="5955"/>
      </w:tblGrid>
      <w:tr w:rsidR="00081E26" w:rsidRPr="00955636" w:rsidTr="00F961AE">
        <w:tc>
          <w:tcPr>
            <w:tcW w:w="5000" w:type="pct"/>
            <w:gridSpan w:val="3"/>
            <w:tcBorders>
              <w:top w:val="outset" w:sz="6" w:space="0" w:color="000000"/>
              <w:left w:val="outset" w:sz="6" w:space="0" w:color="000000"/>
              <w:bottom w:val="outset" w:sz="6" w:space="0" w:color="000000"/>
              <w:right w:val="outset" w:sz="6" w:space="0" w:color="000000"/>
            </w:tcBorders>
          </w:tcPr>
          <w:p w:rsidR="00081E26" w:rsidRPr="004D5680" w:rsidRDefault="00081E26" w:rsidP="00C67E68">
            <w:pPr>
              <w:spacing w:before="100" w:beforeAutospacing="1" w:after="100" w:afterAutospacing="1"/>
              <w:jc w:val="center"/>
              <w:rPr>
                <w:b/>
                <w:bCs/>
                <w:sz w:val="28"/>
                <w:szCs w:val="28"/>
              </w:rPr>
            </w:pPr>
            <w:r w:rsidRPr="004D5680">
              <w:rPr>
                <w:b/>
                <w:bCs/>
                <w:sz w:val="28"/>
                <w:szCs w:val="28"/>
              </w:rPr>
              <w:t>VII. Tiesību akta projekta izpildes nodrošināšana un tās ietekme uz institūcijām</w:t>
            </w:r>
          </w:p>
        </w:tc>
      </w:tr>
      <w:tr w:rsidR="00037AB9" w:rsidRPr="00955636" w:rsidTr="004D5680">
        <w:tc>
          <w:tcPr>
            <w:tcW w:w="309" w:type="pct"/>
            <w:tcBorders>
              <w:top w:val="outset" w:sz="6" w:space="0" w:color="000000"/>
              <w:left w:val="outset" w:sz="6" w:space="0" w:color="000000"/>
              <w:bottom w:val="outset" w:sz="6" w:space="0" w:color="000000"/>
              <w:right w:val="outset" w:sz="6" w:space="0" w:color="000000"/>
            </w:tcBorders>
          </w:tcPr>
          <w:p w:rsidR="00037AB9" w:rsidRPr="004D5680" w:rsidRDefault="00081E26" w:rsidP="00F961AE">
            <w:pPr>
              <w:spacing w:before="100" w:beforeAutospacing="1" w:after="100" w:afterAutospacing="1"/>
              <w:jc w:val="both"/>
              <w:rPr>
                <w:sz w:val="28"/>
                <w:szCs w:val="28"/>
              </w:rPr>
            </w:pPr>
            <w:r w:rsidRPr="004D5680">
              <w:rPr>
                <w:sz w:val="28"/>
                <w:szCs w:val="28"/>
              </w:rPr>
              <w:t>1.</w:t>
            </w:r>
          </w:p>
        </w:tc>
        <w:tc>
          <w:tcPr>
            <w:tcW w:w="1612" w:type="pct"/>
            <w:tcBorders>
              <w:top w:val="outset" w:sz="6" w:space="0" w:color="000000"/>
              <w:left w:val="outset" w:sz="6" w:space="0" w:color="000000"/>
              <w:bottom w:val="outset" w:sz="6" w:space="0" w:color="000000"/>
              <w:right w:val="outset" w:sz="6" w:space="0" w:color="000000"/>
            </w:tcBorders>
          </w:tcPr>
          <w:p w:rsidR="00037AB9" w:rsidRPr="004D5680" w:rsidRDefault="00037AB9" w:rsidP="00F961AE">
            <w:pPr>
              <w:spacing w:before="100" w:beforeAutospacing="1" w:after="100" w:afterAutospacing="1"/>
              <w:jc w:val="both"/>
              <w:rPr>
                <w:sz w:val="28"/>
                <w:szCs w:val="28"/>
              </w:rPr>
            </w:pPr>
            <w:r w:rsidRPr="004D5680">
              <w:rPr>
                <w:sz w:val="28"/>
                <w:szCs w:val="28"/>
              </w:rPr>
              <w:t>Projekta izpildē iesaistītās institūcijas</w:t>
            </w:r>
          </w:p>
        </w:tc>
        <w:tc>
          <w:tcPr>
            <w:tcW w:w="3079" w:type="pct"/>
            <w:tcBorders>
              <w:top w:val="outset" w:sz="6" w:space="0" w:color="000000"/>
              <w:left w:val="outset" w:sz="6" w:space="0" w:color="000000"/>
              <w:bottom w:val="outset" w:sz="6" w:space="0" w:color="000000"/>
              <w:right w:val="outset" w:sz="6" w:space="0" w:color="000000"/>
            </w:tcBorders>
          </w:tcPr>
          <w:p w:rsidR="00037AB9" w:rsidRPr="004D5680" w:rsidRDefault="005F43FE" w:rsidP="00F961AE">
            <w:pPr>
              <w:spacing w:before="100" w:beforeAutospacing="1" w:after="100" w:afterAutospacing="1"/>
              <w:jc w:val="both"/>
              <w:rPr>
                <w:sz w:val="28"/>
                <w:szCs w:val="28"/>
              </w:rPr>
            </w:pPr>
            <w:r w:rsidRPr="004D5680">
              <w:rPr>
                <w:sz w:val="28"/>
                <w:szCs w:val="28"/>
              </w:rPr>
              <w:t>Izložu un azartspēļu uzraudzības inspekcija</w:t>
            </w:r>
            <w:r w:rsidR="00114BE0" w:rsidRPr="004D5680">
              <w:rPr>
                <w:sz w:val="28"/>
                <w:szCs w:val="28"/>
              </w:rPr>
              <w:t xml:space="preserve"> un Valsts ieņēmumu dienests.</w:t>
            </w:r>
          </w:p>
        </w:tc>
      </w:tr>
      <w:tr w:rsidR="00037AB9" w:rsidRPr="00955636" w:rsidTr="004D5680">
        <w:tc>
          <w:tcPr>
            <w:tcW w:w="309" w:type="pct"/>
            <w:tcBorders>
              <w:top w:val="outset" w:sz="6" w:space="0" w:color="000000"/>
              <w:left w:val="outset" w:sz="6" w:space="0" w:color="000000"/>
              <w:bottom w:val="outset" w:sz="6" w:space="0" w:color="000000"/>
              <w:right w:val="outset" w:sz="6" w:space="0" w:color="000000"/>
            </w:tcBorders>
          </w:tcPr>
          <w:p w:rsidR="00037AB9" w:rsidRPr="004D5680" w:rsidRDefault="00081E26" w:rsidP="00F961AE">
            <w:pPr>
              <w:spacing w:before="100" w:beforeAutospacing="1" w:after="100" w:afterAutospacing="1"/>
              <w:jc w:val="both"/>
              <w:rPr>
                <w:sz w:val="28"/>
                <w:szCs w:val="28"/>
                <w:lang w:val="en-US"/>
              </w:rPr>
            </w:pPr>
            <w:r w:rsidRPr="004D5680">
              <w:rPr>
                <w:sz w:val="28"/>
                <w:szCs w:val="28"/>
                <w:lang w:val="en-US"/>
              </w:rPr>
              <w:t>2.</w:t>
            </w:r>
          </w:p>
        </w:tc>
        <w:tc>
          <w:tcPr>
            <w:tcW w:w="1612" w:type="pct"/>
            <w:tcBorders>
              <w:top w:val="outset" w:sz="6" w:space="0" w:color="000000"/>
              <w:left w:val="outset" w:sz="6" w:space="0" w:color="000000"/>
              <w:bottom w:val="outset" w:sz="6" w:space="0" w:color="000000"/>
              <w:right w:val="outset" w:sz="6" w:space="0" w:color="000000"/>
            </w:tcBorders>
          </w:tcPr>
          <w:p w:rsidR="00037AB9" w:rsidRPr="004D5680" w:rsidRDefault="00037AB9" w:rsidP="00F961AE">
            <w:pPr>
              <w:spacing w:before="100" w:beforeAutospacing="1" w:after="100" w:afterAutospacing="1"/>
              <w:jc w:val="both"/>
              <w:rPr>
                <w:sz w:val="28"/>
                <w:szCs w:val="28"/>
              </w:rPr>
            </w:pPr>
            <w:r w:rsidRPr="004D5680">
              <w:rPr>
                <w:sz w:val="28"/>
                <w:szCs w:val="28"/>
              </w:rPr>
              <w:t>Projekta izpildes ietekme uz pārvaldes funkcijām un institucionālo struktūru</w:t>
            </w:r>
          </w:p>
          <w:p w:rsidR="00037AB9" w:rsidRPr="004D5680" w:rsidRDefault="00037AB9" w:rsidP="00994342">
            <w:pPr>
              <w:spacing w:before="100" w:beforeAutospacing="1" w:after="100" w:afterAutospacing="1"/>
              <w:jc w:val="both"/>
              <w:rPr>
                <w:sz w:val="28"/>
                <w:szCs w:val="28"/>
              </w:rPr>
            </w:pPr>
            <w:r w:rsidRPr="004D5680">
              <w:rPr>
                <w:sz w:val="28"/>
                <w:szCs w:val="28"/>
              </w:rPr>
              <w:t>Jaunu institūciju izveide, esošu institūciju likvidācija vai reorganizācija, to ietekme uz institūcijas cilvēkresursiem</w:t>
            </w:r>
          </w:p>
        </w:tc>
        <w:tc>
          <w:tcPr>
            <w:tcW w:w="3079" w:type="pct"/>
            <w:tcBorders>
              <w:top w:val="outset" w:sz="6" w:space="0" w:color="000000"/>
              <w:left w:val="outset" w:sz="6" w:space="0" w:color="000000"/>
              <w:bottom w:val="outset" w:sz="6" w:space="0" w:color="000000"/>
              <w:right w:val="outset" w:sz="6" w:space="0" w:color="000000"/>
            </w:tcBorders>
          </w:tcPr>
          <w:p w:rsidR="00081E26" w:rsidRPr="004D5680" w:rsidRDefault="00E85539" w:rsidP="00F961AE">
            <w:pPr>
              <w:jc w:val="both"/>
              <w:rPr>
                <w:sz w:val="28"/>
                <w:szCs w:val="28"/>
              </w:rPr>
            </w:pPr>
            <w:r>
              <w:rPr>
                <w:sz w:val="28"/>
                <w:szCs w:val="28"/>
              </w:rPr>
              <w:t>Projekts šo jomu neskar.</w:t>
            </w:r>
          </w:p>
        </w:tc>
      </w:tr>
      <w:tr w:rsidR="00037AB9" w:rsidRPr="00955636" w:rsidTr="004D5680">
        <w:tc>
          <w:tcPr>
            <w:tcW w:w="309" w:type="pct"/>
            <w:tcBorders>
              <w:top w:val="outset" w:sz="6" w:space="0" w:color="000000"/>
              <w:left w:val="outset" w:sz="6" w:space="0" w:color="000000"/>
              <w:bottom w:val="outset" w:sz="6" w:space="0" w:color="000000"/>
              <w:right w:val="outset" w:sz="6" w:space="0" w:color="000000"/>
            </w:tcBorders>
          </w:tcPr>
          <w:p w:rsidR="00037AB9" w:rsidRPr="004D5680" w:rsidRDefault="00081E26" w:rsidP="00F961AE">
            <w:pPr>
              <w:spacing w:before="100" w:beforeAutospacing="1" w:after="100" w:afterAutospacing="1"/>
              <w:jc w:val="both"/>
              <w:rPr>
                <w:sz w:val="28"/>
                <w:szCs w:val="28"/>
                <w:lang w:val="en-US"/>
              </w:rPr>
            </w:pPr>
            <w:r w:rsidRPr="004D5680">
              <w:rPr>
                <w:sz w:val="28"/>
                <w:szCs w:val="28"/>
                <w:lang w:val="en-US"/>
              </w:rPr>
              <w:t>3.</w:t>
            </w:r>
          </w:p>
        </w:tc>
        <w:tc>
          <w:tcPr>
            <w:tcW w:w="1612" w:type="pct"/>
            <w:tcBorders>
              <w:top w:val="outset" w:sz="6" w:space="0" w:color="000000"/>
              <w:left w:val="outset" w:sz="6" w:space="0" w:color="000000"/>
              <w:bottom w:val="outset" w:sz="6" w:space="0" w:color="000000"/>
              <w:right w:val="outset" w:sz="6" w:space="0" w:color="000000"/>
            </w:tcBorders>
          </w:tcPr>
          <w:p w:rsidR="00037AB9" w:rsidRPr="004D5680" w:rsidRDefault="00081E26" w:rsidP="00F961AE">
            <w:pPr>
              <w:spacing w:before="100" w:beforeAutospacing="1" w:after="100" w:afterAutospacing="1"/>
              <w:jc w:val="both"/>
              <w:rPr>
                <w:sz w:val="28"/>
                <w:szCs w:val="28"/>
              </w:rPr>
            </w:pPr>
            <w:r w:rsidRPr="004D5680">
              <w:rPr>
                <w:sz w:val="28"/>
                <w:szCs w:val="28"/>
              </w:rPr>
              <w:t>Cita informācija</w:t>
            </w:r>
          </w:p>
        </w:tc>
        <w:tc>
          <w:tcPr>
            <w:tcW w:w="3079" w:type="pct"/>
            <w:tcBorders>
              <w:top w:val="outset" w:sz="6" w:space="0" w:color="000000"/>
              <w:left w:val="outset" w:sz="6" w:space="0" w:color="000000"/>
              <w:bottom w:val="outset" w:sz="6" w:space="0" w:color="000000"/>
              <w:right w:val="outset" w:sz="6" w:space="0" w:color="000000"/>
            </w:tcBorders>
          </w:tcPr>
          <w:p w:rsidR="00037AB9" w:rsidRPr="004D5680" w:rsidRDefault="00081E26" w:rsidP="00F961AE">
            <w:pPr>
              <w:spacing w:before="100" w:beforeAutospacing="1" w:after="100" w:afterAutospacing="1"/>
              <w:jc w:val="both"/>
              <w:rPr>
                <w:sz w:val="28"/>
                <w:szCs w:val="28"/>
              </w:rPr>
            </w:pPr>
            <w:r w:rsidRPr="004D5680">
              <w:rPr>
                <w:sz w:val="28"/>
                <w:szCs w:val="28"/>
              </w:rPr>
              <w:t>Nav.</w:t>
            </w:r>
          </w:p>
        </w:tc>
      </w:tr>
    </w:tbl>
    <w:p w:rsidR="00E85539" w:rsidRPr="004D5680" w:rsidRDefault="00E85539" w:rsidP="006D0922">
      <w:pPr>
        <w:pStyle w:val="naisf"/>
        <w:tabs>
          <w:tab w:val="left" w:pos="6804"/>
        </w:tabs>
        <w:spacing w:before="0" w:after="0"/>
        <w:ind w:firstLine="0"/>
        <w:rPr>
          <w:sz w:val="28"/>
          <w:szCs w:val="28"/>
        </w:rPr>
      </w:pPr>
    </w:p>
    <w:p w:rsidR="00955636" w:rsidRPr="004D5680" w:rsidRDefault="00E85539" w:rsidP="00955636">
      <w:pPr>
        <w:pStyle w:val="naisf"/>
        <w:spacing w:before="0" w:after="0"/>
        <w:ind w:firstLine="0"/>
        <w:rPr>
          <w:i/>
          <w:sz w:val="28"/>
          <w:szCs w:val="28"/>
        </w:rPr>
      </w:pPr>
      <w:r w:rsidRPr="004D5680">
        <w:rPr>
          <w:i/>
          <w:sz w:val="28"/>
          <w:szCs w:val="28"/>
        </w:rPr>
        <w:t xml:space="preserve">Anotācijas </w:t>
      </w:r>
      <w:r w:rsidR="00955636" w:rsidRPr="004D5680">
        <w:rPr>
          <w:i/>
          <w:sz w:val="28"/>
          <w:szCs w:val="28"/>
        </w:rPr>
        <w:t>III., IV. un V.sadaļa – projekts šīs jomas neskar</w:t>
      </w:r>
      <w:r>
        <w:rPr>
          <w:i/>
          <w:sz w:val="28"/>
          <w:szCs w:val="28"/>
        </w:rPr>
        <w:t>.</w:t>
      </w:r>
    </w:p>
    <w:p w:rsidR="0003506F" w:rsidRPr="00955636" w:rsidRDefault="0003506F" w:rsidP="0003506F">
      <w:pPr>
        <w:jc w:val="both"/>
        <w:rPr>
          <w:sz w:val="28"/>
          <w:szCs w:val="28"/>
          <w:lang w:val="de-DE"/>
        </w:rPr>
      </w:pPr>
    </w:p>
    <w:p w:rsidR="0003506F" w:rsidRPr="00955636" w:rsidRDefault="0003506F" w:rsidP="00561D6A">
      <w:pPr>
        <w:ind w:firstLine="720"/>
        <w:jc w:val="both"/>
        <w:rPr>
          <w:sz w:val="28"/>
          <w:szCs w:val="28"/>
          <w:lang w:val="de-DE"/>
        </w:rPr>
      </w:pPr>
      <w:r w:rsidRPr="00955636">
        <w:rPr>
          <w:sz w:val="28"/>
          <w:szCs w:val="28"/>
          <w:lang w:val="de-DE"/>
        </w:rPr>
        <w:t>Finanšu ministrs</w:t>
      </w:r>
      <w:r w:rsidRPr="00955636">
        <w:rPr>
          <w:sz w:val="28"/>
          <w:szCs w:val="28"/>
          <w:lang w:val="de-DE"/>
        </w:rPr>
        <w:tab/>
      </w:r>
      <w:r w:rsidRPr="00955636">
        <w:rPr>
          <w:sz w:val="28"/>
          <w:szCs w:val="28"/>
          <w:lang w:val="de-DE"/>
        </w:rPr>
        <w:tab/>
      </w:r>
      <w:r w:rsidRPr="00955636">
        <w:rPr>
          <w:sz w:val="28"/>
          <w:szCs w:val="28"/>
          <w:lang w:val="de-DE"/>
        </w:rPr>
        <w:tab/>
      </w:r>
      <w:r w:rsidRPr="00955636">
        <w:rPr>
          <w:sz w:val="28"/>
          <w:szCs w:val="28"/>
          <w:lang w:val="de-DE"/>
        </w:rPr>
        <w:tab/>
      </w:r>
      <w:r w:rsidRPr="00955636">
        <w:rPr>
          <w:sz w:val="28"/>
          <w:szCs w:val="28"/>
          <w:lang w:val="de-DE"/>
        </w:rPr>
        <w:tab/>
      </w:r>
      <w:r w:rsidRPr="00955636">
        <w:rPr>
          <w:sz w:val="28"/>
          <w:szCs w:val="28"/>
          <w:lang w:val="de-DE"/>
        </w:rPr>
        <w:tab/>
      </w:r>
      <w:r w:rsidRPr="00955636">
        <w:rPr>
          <w:sz w:val="28"/>
          <w:szCs w:val="28"/>
          <w:lang w:val="de-DE"/>
        </w:rPr>
        <w:tab/>
      </w:r>
      <w:r w:rsidRPr="00955636">
        <w:rPr>
          <w:sz w:val="28"/>
          <w:szCs w:val="28"/>
          <w:lang w:val="de-DE"/>
        </w:rPr>
        <w:tab/>
      </w:r>
      <w:r w:rsidR="00597FEE" w:rsidRPr="00955636">
        <w:rPr>
          <w:sz w:val="28"/>
          <w:szCs w:val="28"/>
          <w:lang w:val="de-DE"/>
        </w:rPr>
        <w:t>J</w:t>
      </w:r>
      <w:r w:rsidRPr="00955636">
        <w:rPr>
          <w:sz w:val="28"/>
          <w:szCs w:val="28"/>
          <w:lang w:val="de-DE"/>
        </w:rPr>
        <w:t>.</w:t>
      </w:r>
      <w:r w:rsidR="00597FEE" w:rsidRPr="00955636">
        <w:rPr>
          <w:sz w:val="28"/>
          <w:szCs w:val="28"/>
          <w:lang w:val="de-DE"/>
        </w:rPr>
        <w:t>Reirs</w:t>
      </w:r>
      <w:r w:rsidRPr="00955636">
        <w:rPr>
          <w:sz w:val="28"/>
          <w:szCs w:val="28"/>
          <w:lang w:val="de-DE"/>
        </w:rPr>
        <w:t xml:space="preserve"> </w:t>
      </w:r>
    </w:p>
    <w:p w:rsidR="000A6190" w:rsidRDefault="000A6190" w:rsidP="00F961AE">
      <w:pPr>
        <w:tabs>
          <w:tab w:val="center" w:pos="4153"/>
          <w:tab w:val="right" w:pos="8306"/>
        </w:tabs>
        <w:rPr>
          <w:sz w:val="20"/>
        </w:rPr>
      </w:pPr>
    </w:p>
    <w:p w:rsidR="00715B73" w:rsidRDefault="00D62071" w:rsidP="00F961AE">
      <w:pPr>
        <w:tabs>
          <w:tab w:val="center" w:pos="4153"/>
          <w:tab w:val="right" w:pos="8306"/>
        </w:tabs>
        <w:rPr>
          <w:sz w:val="20"/>
        </w:rPr>
      </w:pPr>
      <w:r>
        <w:rPr>
          <w:sz w:val="20"/>
        </w:rPr>
        <w:t>1</w:t>
      </w:r>
      <w:r w:rsidR="00634A91">
        <w:rPr>
          <w:sz w:val="20"/>
        </w:rPr>
        <w:t>2</w:t>
      </w:r>
      <w:r w:rsidR="00715B73">
        <w:rPr>
          <w:sz w:val="20"/>
        </w:rPr>
        <w:t>.</w:t>
      </w:r>
      <w:r w:rsidR="00634A91">
        <w:rPr>
          <w:sz w:val="20"/>
        </w:rPr>
        <w:t>03</w:t>
      </w:r>
      <w:r w:rsidR="00715B73">
        <w:rPr>
          <w:sz w:val="20"/>
        </w:rPr>
        <w:t>.201</w:t>
      </w:r>
      <w:r w:rsidR="001F2EBB">
        <w:rPr>
          <w:sz w:val="20"/>
        </w:rPr>
        <w:t>5</w:t>
      </w:r>
      <w:r w:rsidR="00715B73">
        <w:rPr>
          <w:sz w:val="20"/>
        </w:rPr>
        <w:t xml:space="preserve"> 1</w:t>
      </w:r>
      <w:r w:rsidR="00C846EB">
        <w:rPr>
          <w:sz w:val="20"/>
        </w:rPr>
        <w:t>1</w:t>
      </w:r>
      <w:r w:rsidR="00715B73">
        <w:rPr>
          <w:sz w:val="20"/>
        </w:rPr>
        <w:t>:25</w:t>
      </w:r>
    </w:p>
    <w:p w:rsidR="00F961AE" w:rsidRPr="00F961AE" w:rsidRDefault="00AD6ADA" w:rsidP="00F961AE">
      <w:pPr>
        <w:tabs>
          <w:tab w:val="center" w:pos="4153"/>
          <w:tab w:val="right" w:pos="8306"/>
        </w:tabs>
        <w:rPr>
          <w:iCs/>
          <w:sz w:val="20"/>
        </w:rPr>
      </w:pPr>
      <w:r>
        <w:rPr>
          <w:sz w:val="20"/>
        </w:rPr>
        <w:t>9</w:t>
      </w:r>
      <w:r w:rsidR="001B0528">
        <w:rPr>
          <w:sz w:val="20"/>
        </w:rPr>
        <w:t>3</w:t>
      </w:r>
      <w:r w:rsidR="00906460">
        <w:rPr>
          <w:sz w:val="20"/>
        </w:rPr>
        <w:t>3</w:t>
      </w:r>
    </w:p>
    <w:p w:rsidR="00F961AE" w:rsidRPr="00F961AE" w:rsidRDefault="008809E1" w:rsidP="00F961AE">
      <w:pPr>
        <w:tabs>
          <w:tab w:val="center" w:pos="4153"/>
          <w:tab w:val="right" w:pos="8306"/>
        </w:tabs>
        <w:rPr>
          <w:sz w:val="20"/>
        </w:rPr>
      </w:pPr>
      <w:r>
        <w:rPr>
          <w:sz w:val="20"/>
        </w:rPr>
        <w:t>Avotiņa</w:t>
      </w:r>
      <w:r w:rsidR="00F961AE" w:rsidRPr="00F961AE">
        <w:rPr>
          <w:sz w:val="20"/>
        </w:rPr>
        <w:t xml:space="preserve">, </w:t>
      </w:r>
      <w:r w:rsidR="00EE0240">
        <w:rPr>
          <w:sz w:val="20"/>
          <w:szCs w:val="20"/>
        </w:rPr>
        <w:t>67095515</w:t>
      </w:r>
    </w:p>
    <w:p w:rsidR="007A66D8" w:rsidRPr="009656DE" w:rsidRDefault="00F961AE" w:rsidP="00F961AE">
      <w:pPr>
        <w:tabs>
          <w:tab w:val="center" w:pos="4153"/>
          <w:tab w:val="right" w:pos="8306"/>
        </w:tabs>
      </w:pPr>
      <w:r w:rsidRPr="00F961AE">
        <w:rPr>
          <w:sz w:val="20"/>
        </w:rPr>
        <w:t xml:space="preserve">e-pasts: </w:t>
      </w:r>
      <w:hyperlink r:id="rId13" w:history="1">
        <w:r w:rsidR="00EE0240" w:rsidRPr="00512E90">
          <w:rPr>
            <w:rStyle w:val="Hyperlink"/>
            <w:sz w:val="20"/>
          </w:rPr>
          <w:t>Inga.Avotina@fm.gov.lv</w:t>
        </w:r>
      </w:hyperlink>
    </w:p>
    <w:sectPr w:rsidR="007A66D8" w:rsidRPr="009656DE" w:rsidSect="00F961AE">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5A" w:rsidRDefault="00DC4E5A">
      <w:r>
        <w:separator/>
      </w:r>
    </w:p>
  </w:endnote>
  <w:endnote w:type="continuationSeparator" w:id="0">
    <w:p w:rsidR="00DC4E5A" w:rsidRDefault="00DC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A7" w:rsidRDefault="002F3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Pr="00763550" w:rsidRDefault="00634A91" w:rsidP="00634A91">
    <w:pPr>
      <w:pStyle w:val="Footer"/>
      <w:jc w:val="both"/>
    </w:pPr>
    <w:r>
      <w:rPr>
        <w:sz w:val="20"/>
        <w:szCs w:val="20"/>
      </w:rPr>
      <w:t xml:space="preserve">FMAnot_120315_VSS-470; </w:t>
    </w:r>
    <w:r w:rsidRPr="00763550">
      <w:rPr>
        <w:rFonts w:eastAsiaTheme="minorHAnsi"/>
        <w:sz w:val="20"/>
        <w:szCs w:val="20"/>
        <w:lang w:eastAsia="en-US"/>
      </w:rPr>
      <w:t>Ministru kabineta noteikumu projekta „Grozījumi Ministru kabineta 2007.gada 13.februāra noteikumos Nr.105 „Kārtība, kādā interaktīvo azartspēļu un izložu organizētājs iesniedz paziņojumu par pārskata ceturksni””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50" w:rsidRPr="00763550" w:rsidRDefault="00763550" w:rsidP="00763550">
    <w:pPr>
      <w:jc w:val="both"/>
      <w:rPr>
        <w:rFonts w:eastAsiaTheme="minorHAnsi"/>
        <w:sz w:val="22"/>
        <w:szCs w:val="22"/>
        <w:lang w:eastAsia="en-US"/>
      </w:rPr>
    </w:pPr>
  </w:p>
  <w:p w:rsidR="00C31E36" w:rsidRPr="00114BE0" w:rsidRDefault="00634A91" w:rsidP="00114BE0">
    <w:pPr>
      <w:pStyle w:val="Footer"/>
      <w:jc w:val="both"/>
      <w:rPr>
        <w:sz w:val="20"/>
        <w:szCs w:val="20"/>
      </w:rPr>
    </w:pPr>
    <w:r>
      <w:rPr>
        <w:sz w:val="20"/>
        <w:szCs w:val="20"/>
      </w:rPr>
      <w:t xml:space="preserve">FMAnot_120315_VSS-470; </w:t>
    </w:r>
    <w:r w:rsidRPr="00763550">
      <w:rPr>
        <w:rFonts w:eastAsiaTheme="minorHAnsi"/>
        <w:sz w:val="20"/>
        <w:szCs w:val="20"/>
        <w:lang w:eastAsia="en-US"/>
      </w:rPr>
      <w:t>Ministru kabineta noteikumu projekta „Grozījumi Ministru kabineta 2007.gada 13.februāra noteikumos Nr.105 „Kārtība, kādā interaktīvo azartspēļu un izložu organizētājs iesniedz paziņojumu par pārskata ceturksni””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5A" w:rsidRDefault="00DC4E5A">
      <w:r>
        <w:separator/>
      </w:r>
    </w:p>
  </w:footnote>
  <w:footnote w:type="continuationSeparator" w:id="0">
    <w:p w:rsidR="00DC4E5A" w:rsidRDefault="00DC4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E36" w:rsidRDefault="00C31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048A">
      <w:rPr>
        <w:rStyle w:val="PageNumber"/>
        <w:noProof/>
      </w:rPr>
      <w:t>4</w:t>
    </w:r>
    <w:r>
      <w:rPr>
        <w:rStyle w:val="PageNumber"/>
      </w:rPr>
      <w:fldChar w:fldCharType="end"/>
    </w:r>
  </w:p>
  <w:p w:rsidR="00C31E36" w:rsidRDefault="00C31E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A7" w:rsidRDefault="002F3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A42407"/>
    <w:multiLevelType w:val="hybridMultilevel"/>
    <w:tmpl w:val="774E8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E636FB4"/>
    <w:multiLevelType w:val="hybridMultilevel"/>
    <w:tmpl w:val="63BEEAC8"/>
    <w:lvl w:ilvl="0" w:tplc="029468A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8"/>
  </w:num>
  <w:num w:numId="3">
    <w:abstractNumId w:val="4"/>
  </w:num>
  <w:num w:numId="4">
    <w:abstractNumId w:val="2"/>
  </w:num>
  <w:num w:numId="5">
    <w:abstractNumId w:val="1"/>
  </w:num>
  <w:num w:numId="6">
    <w:abstractNumId w:val="14"/>
  </w:num>
  <w:num w:numId="7">
    <w:abstractNumId w:val="19"/>
  </w:num>
  <w:num w:numId="8">
    <w:abstractNumId w:val="10"/>
  </w:num>
  <w:num w:numId="9">
    <w:abstractNumId w:val="3"/>
  </w:num>
  <w:num w:numId="10">
    <w:abstractNumId w:val="11"/>
  </w:num>
  <w:num w:numId="11">
    <w:abstractNumId w:val="12"/>
  </w:num>
  <w:num w:numId="12">
    <w:abstractNumId w:val="15"/>
  </w:num>
  <w:num w:numId="13">
    <w:abstractNumId w:val="17"/>
  </w:num>
  <w:num w:numId="14">
    <w:abstractNumId w:val="0"/>
  </w:num>
  <w:num w:numId="15">
    <w:abstractNumId w:val="7"/>
  </w:num>
  <w:num w:numId="16">
    <w:abstractNumId w:val="9"/>
  </w:num>
  <w:num w:numId="17">
    <w:abstractNumId w:val="16"/>
  </w:num>
  <w:num w:numId="18">
    <w:abstractNumId w:val="5"/>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308F"/>
    <w:rsid w:val="00003517"/>
    <w:rsid w:val="00005687"/>
    <w:rsid w:val="0000641C"/>
    <w:rsid w:val="00011C00"/>
    <w:rsid w:val="00011D24"/>
    <w:rsid w:val="00012BEC"/>
    <w:rsid w:val="00013FF4"/>
    <w:rsid w:val="00015213"/>
    <w:rsid w:val="00017EAF"/>
    <w:rsid w:val="00020FE1"/>
    <w:rsid w:val="00022E13"/>
    <w:rsid w:val="0002627A"/>
    <w:rsid w:val="00026323"/>
    <w:rsid w:val="00027394"/>
    <w:rsid w:val="00032388"/>
    <w:rsid w:val="00033B6A"/>
    <w:rsid w:val="000347CE"/>
    <w:rsid w:val="0003506F"/>
    <w:rsid w:val="00035CE2"/>
    <w:rsid w:val="00035DDF"/>
    <w:rsid w:val="00037AB9"/>
    <w:rsid w:val="00037DAC"/>
    <w:rsid w:val="00053EE5"/>
    <w:rsid w:val="0005553B"/>
    <w:rsid w:val="000604D2"/>
    <w:rsid w:val="00061587"/>
    <w:rsid w:val="00065241"/>
    <w:rsid w:val="000675A9"/>
    <w:rsid w:val="00070D7A"/>
    <w:rsid w:val="00074B12"/>
    <w:rsid w:val="00080AD1"/>
    <w:rsid w:val="00081E26"/>
    <w:rsid w:val="0009005E"/>
    <w:rsid w:val="00090BFB"/>
    <w:rsid w:val="00090DB8"/>
    <w:rsid w:val="00090DFB"/>
    <w:rsid w:val="00091B63"/>
    <w:rsid w:val="000941C5"/>
    <w:rsid w:val="00094EEE"/>
    <w:rsid w:val="000971F9"/>
    <w:rsid w:val="00097549"/>
    <w:rsid w:val="000A0BCC"/>
    <w:rsid w:val="000A4495"/>
    <w:rsid w:val="000A6190"/>
    <w:rsid w:val="000A6451"/>
    <w:rsid w:val="000B064E"/>
    <w:rsid w:val="000B0C7C"/>
    <w:rsid w:val="000B69CF"/>
    <w:rsid w:val="000B7357"/>
    <w:rsid w:val="000C1E30"/>
    <w:rsid w:val="000C5398"/>
    <w:rsid w:val="000C6DD5"/>
    <w:rsid w:val="000C788D"/>
    <w:rsid w:val="000C790C"/>
    <w:rsid w:val="000D1A1A"/>
    <w:rsid w:val="000D3AED"/>
    <w:rsid w:val="000D452C"/>
    <w:rsid w:val="000D5A7F"/>
    <w:rsid w:val="000E0375"/>
    <w:rsid w:val="000E6A1E"/>
    <w:rsid w:val="000F061D"/>
    <w:rsid w:val="000F1982"/>
    <w:rsid w:val="000F4794"/>
    <w:rsid w:val="000F53DF"/>
    <w:rsid w:val="000F6230"/>
    <w:rsid w:val="00100EF9"/>
    <w:rsid w:val="001010FC"/>
    <w:rsid w:val="00102C2B"/>
    <w:rsid w:val="00105059"/>
    <w:rsid w:val="00114BE0"/>
    <w:rsid w:val="00115838"/>
    <w:rsid w:val="00117E30"/>
    <w:rsid w:val="00124F12"/>
    <w:rsid w:val="001347F7"/>
    <w:rsid w:val="001405CC"/>
    <w:rsid w:val="00141024"/>
    <w:rsid w:val="001417B4"/>
    <w:rsid w:val="00141D8A"/>
    <w:rsid w:val="0014222F"/>
    <w:rsid w:val="00142604"/>
    <w:rsid w:val="00144E3A"/>
    <w:rsid w:val="001457BD"/>
    <w:rsid w:val="00146F25"/>
    <w:rsid w:val="0015060C"/>
    <w:rsid w:val="00151D26"/>
    <w:rsid w:val="00155FF1"/>
    <w:rsid w:val="00160129"/>
    <w:rsid w:val="0016018A"/>
    <w:rsid w:val="00161F0E"/>
    <w:rsid w:val="00165B11"/>
    <w:rsid w:val="0016758D"/>
    <w:rsid w:val="001679AF"/>
    <w:rsid w:val="00167D2E"/>
    <w:rsid w:val="00170E2A"/>
    <w:rsid w:val="001713F3"/>
    <w:rsid w:val="001717AD"/>
    <w:rsid w:val="00177394"/>
    <w:rsid w:val="00180013"/>
    <w:rsid w:val="00182C18"/>
    <w:rsid w:val="00183CC2"/>
    <w:rsid w:val="001900E4"/>
    <w:rsid w:val="00190F88"/>
    <w:rsid w:val="001917DF"/>
    <w:rsid w:val="001926C8"/>
    <w:rsid w:val="00192DDB"/>
    <w:rsid w:val="00197064"/>
    <w:rsid w:val="001A2E25"/>
    <w:rsid w:val="001A4066"/>
    <w:rsid w:val="001A6AE4"/>
    <w:rsid w:val="001A769D"/>
    <w:rsid w:val="001B01FD"/>
    <w:rsid w:val="001B0528"/>
    <w:rsid w:val="001B4A71"/>
    <w:rsid w:val="001B6D4E"/>
    <w:rsid w:val="001C1C33"/>
    <w:rsid w:val="001C612F"/>
    <w:rsid w:val="001D166B"/>
    <w:rsid w:val="001D1780"/>
    <w:rsid w:val="001D390F"/>
    <w:rsid w:val="001D5B54"/>
    <w:rsid w:val="001D79C3"/>
    <w:rsid w:val="001E06F8"/>
    <w:rsid w:val="001E1DBF"/>
    <w:rsid w:val="001E3070"/>
    <w:rsid w:val="001E4639"/>
    <w:rsid w:val="001E4A7D"/>
    <w:rsid w:val="001F2EBB"/>
    <w:rsid w:val="001F4209"/>
    <w:rsid w:val="001F43A8"/>
    <w:rsid w:val="001F5CD6"/>
    <w:rsid w:val="001F77D9"/>
    <w:rsid w:val="00200CC7"/>
    <w:rsid w:val="00202D9C"/>
    <w:rsid w:val="00204489"/>
    <w:rsid w:val="00206600"/>
    <w:rsid w:val="0020681D"/>
    <w:rsid w:val="00210D0B"/>
    <w:rsid w:val="0021263D"/>
    <w:rsid w:val="00213F0C"/>
    <w:rsid w:val="00214094"/>
    <w:rsid w:val="0021592D"/>
    <w:rsid w:val="00215A98"/>
    <w:rsid w:val="00222D76"/>
    <w:rsid w:val="00223507"/>
    <w:rsid w:val="00223EB1"/>
    <w:rsid w:val="002257D7"/>
    <w:rsid w:val="002259E6"/>
    <w:rsid w:val="00231344"/>
    <w:rsid w:val="00233198"/>
    <w:rsid w:val="0023436E"/>
    <w:rsid w:val="002347C0"/>
    <w:rsid w:val="00241A6C"/>
    <w:rsid w:val="0024252D"/>
    <w:rsid w:val="00242D2B"/>
    <w:rsid w:val="00247D3C"/>
    <w:rsid w:val="00250B39"/>
    <w:rsid w:val="00251ADB"/>
    <w:rsid w:val="00252AAD"/>
    <w:rsid w:val="002542DA"/>
    <w:rsid w:val="00262E2B"/>
    <w:rsid w:val="002640EA"/>
    <w:rsid w:val="00270429"/>
    <w:rsid w:val="002723E9"/>
    <w:rsid w:val="002754FE"/>
    <w:rsid w:val="00277929"/>
    <w:rsid w:val="002818DF"/>
    <w:rsid w:val="002820A2"/>
    <w:rsid w:val="002824DE"/>
    <w:rsid w:val="00283255"/>
    <w:rsid w:val="00283B82"/>
    <w:rsid w:val="002846E9"/>
    <w:rsid w:val="00284C34"/>
    <w:rsid w:val="0029066C"/>
    <w:rsid w:val="00294B19"/>
    <w:rsid w:val="00297969"/>
    <w:rsid w:val="002A0413"/>
    <w:rsid w:val="002A3E3E"/>
    <w:rsid w:val="002A50A8"/>
    <w:rsid w:val="002A6FCD"/>
    <w:rsid w:val="002B04AE"/>
    <w:rsid w:val="002B0982"/>
    <w:rsid w:val="002B10D4"/>
    <w:rsid w:val="002B2D3C"/>
    <w:rsid w:val="002B50DB"/>
    <w:rsid w:val="002C10A7"/>
    <w:rsid w:val="002C12AB"/>
    <w:rsid w:val="002C279D"/>
    <w:rsid w:val="002C45C3"/>
    <w:rsid w:val="002C5C60"/>
    <w:rsid w:val="002C69D8"/>
    <w:rsid w:val="002C7CAC"/>
    <w:rsid w:val="002D3248"/>
    <w:rsid w:val="002D3306"/>
    <w:rsid w:val="002D3418"/>
    <w:rsid w:val="002D4244"/>
    <w:rsid w:val="002D48AA"/>
    <w:rsid w:val="002D7875"/>
    <w:rsid w:val="002D7BAA"/>
    <w:rsid w:val="002D7DC7"/>
    <w:rsid w:val="002D7F54"/>
    <w:rsid w:val="002E3117"/>
    <w:rsid w:val="002E37E7"/>
    <w:rsid w:val="002E3FF4"/>
    <w:rsid w:val="002E4126"/>
    <w:rsid w:val="002F3569"/>
    <w:rsid w:val="002F3DA7"/>
    <w:rsid w:val="002F5FDC"/>
    <w:rsid w:val="002F7078"/>
    <w:rsid w:val="002F759C"/>
    <w:rsid w:val="002F78C8"/>
    <w:rsid w:val="003006CA"/>
    <w:rsid w:val="00301467"/>
    <w:rsid w:val="00301CF3"/>
    <w:rsid w:val="003032C1"/>
    <w:rsid w:val="00303AC1"/>
    <w:rsid w:val="00303F8C"/>
    <w:rsid w:val="003040EA"/>
    <w:rsid w:val="00306656"/>
    <w:rsid w:val="00307033"/>
    <w:rsid w:val="003133E3"/>
    <w:rsid w:val="003153D0"/>
    <w:rsid w:val="00321247"/>
    <w:rsid w:val="0032715C"/>
    <w:rsid w:val="00334E28"/>
    <w:rsid w:val="003359A9"/>
    <w:rsid w:val="003369B8"/>
    <w:rsid w:val="00336B3B"/>
    <w:rsid w:val="00337CA5"/>
    <w:rsid w:val="0034270B"/>
    <w:rsid w:val="00345C5B"/>
    <w:rsid w:val="00351F16"/>
    <w:rsid w:val="00354130"/>
    <w:rsid w:val="0035713B"/>
    <w:rsid w:val="00357E21"/>
    <w:rsid w:val="00362478"/>
    <w:rsid w:val="00363EF3"/>
    <w:rsid w:val="003667AD"/>
    <w:rsid w:val="00375752"/>
    <w:rsid w:val="00375B25"/>
    <w:rsid w:val="0037632F"/>
    <w:rsid w:val="003807FF"/>
    <w:rsid w:val="0038132C"/>
    <w:rsid w:val="00381D9E"/>
    <w:rsid w:val="00382820"/>
    <w:rsid w:val="003878A9"/>
    <w:rsid w:val="00390D8B"/>
    <w:rsid w:val="00396542"/>
    <w:rsid w:val="0039685B"/>
    <w:rsid w:val="003A1930"/>
    <w:rsid w:val="003A31A6"/>
    <w:rsid w:val="003A3C61"/>
    <w:rsid w:val="003A67F5"/>
    <w:rsid w:val="003A6A3C"/>
    <w:rsid w:val="003A7F0C"/>
    <w:rsid w:val="003A7F79"/>
    <w:rsid w:val="003B426E"/>
    <w:rsid w:val="003B6404"/>
    <w:rsid w:val="003B67A2"/>
    <w:rsid w:val="003B6BD1"/>
    <w:rsid w:val="003B787E"/>
    <w:rsid w:val="003C1635"/>
    <w:rsid w:val="003C35C6"/>
    <w:rsid w:val="003C449B"/>
    <w:rsid w:val="003C6409"/>
    <w:rsid w:val="003C7B16"/>
    <w:rsid w:val="003D21FF"/>
    <w:rsid w:val="003D357A"/>
    <w:rsid w:val="003D3AA1"/>
    <w:rsid w:val="003D698A"/>
    <w:rsid w:val="003F0112"/>
    <w:rsid w:val="003F071A"/>
    <w:rsid w:val="003F160B"/>
    <w:rsid w:val="003F1E50"/>
    <w:rsid w:val="003F4D77"/>
    <w:rsid w:val="003F7754"/>
    <w:rsid w:val="00400032"/>
    <w:rsid w:val="00400B5B"/>
    <w:rsid w:val="00401B30"/>
    <w:rsid w:val="004056ED"/>
    <w:rsid w:val="00405A00"/>
    <w:rsid w:val="00410246"/>
    <w:rsid w:val="00413396"/>
    <w:rsid w:val="0041561B"/>
    <w:rsid w:val="004179DE"/>
    <w:rsid w:val="00420870"/>
    <w:rsid w:val="004268F6"/>
    <w:rsid w:val="00427C10"/>
    <w:rsid w:val="00430A21"/>
    <w:rsid w:val="00432422"/>
    <w:rsid w:val="00432D0C"/>
    <w:rsid w:val="0043791B"/>
    <w:rsid w:val="00440FC7"/>
    <w:rsid w:val="00441187"/>
    <w:rsid w:val="00441483"/>
    <w:rsid w:val="00441BCB"/>
    <w:rsid w:val="004430E1"/>
    <w:rsid w:val="0045176A"/>
    <w:rsid w:val="0045202F"/>
    <w:rsid w:val="00456332"/>
    <w:rsid w:val="00456663"/>
    <w:rsid w:val="00456A48"/>
    <w:rsid w:val="00460A78"/>
    <w:rsid w:val="00460F2B"/>
    <w:rsid w:val="00461826"/>
    <w:rsid w:val="00462BE6"/>
    <w:rsid w:val="00467DD9"/>
    <w:rsid w:val="004704CE"/>
    <w:rsid w:val="0047358D"/>
    <w:rsid w:val="00475AF2"/>
    <w:rsid w:val="00477047"/>
    <w:rsid w:val="004800F9"/>
    <w:rsid w:val="0048374E"/>
    <w:rsid w:val="00486FDD"/>
    <w:rsid w:val="0049134A"/>
    <w:rsid w:val="00491694"/>
    <w:rsid w:val="004918A5"/>
    <w:rsid w:val="004942C6"/>
    <w:rsid w:val="004A0CFB"/>
    <w:rsid w:val="004A58CB"/>
    <w:rsid w:val="004A68DC"/>
    <w:rsid w:val="004B1795"/>
    <w:rsid w:val="004B56DD"/>
    <w:rsid w:val="004B5B0C"/>
    <w:rsid w:val="004C020F"/>
    <w:rsid w:val="004C1AFD"/>
    <w:rsid w:val="004C49D2"/>
    <w:rsid w:val="004C558B"/>
    <w:rsid w:val="004C5A3F"/>
    <w:rsid w:val="004C7A0E"/>
    <w:rsid w:val="004D3A90"/>
    <w:rsid w:val="004D492F"/>
    <w:rsid w:val="004D526B"/>
    <w:rsid w:val="004D564C"/>
    <w:rsid w:val="004D5680"/>
    <w:rsid w:val="004D5C7F"/>
    <w:rsid w:val="004E2E8D"/>
    <w:rsid w:val="004E35F6"/>
    <w:rsid w:val="004E6B86"/>
    <w:rsid w:val="004F1F88"/>
    <w:rsid w:val="004F304C"/>
    <w:rsid w:val="004F5F1B"/>
    <w:rsid w:val="00502374"/>
    <w:rsid w:val="005026E7"/>
    <w:rsid w:val="005037C5"/>
    <w:rsid w:val="005060A1"/>
    <w:rsid w:val="00506373"/>
    <w:rsid w:val="00506F1D"/>
    <w:rsid w:val="0051005B"/>
    <w:rsid w:val="005148E6"/>
    <w:rsid w:val="005156F3"/>
    <w:rsid w:val="00516072"/>
    <w:rsid w:val="00527517"/>
    <w:rsid w:val="00530649"/>
    <w:rsid w:val="0053070D"/>
    <w:rsid w:val="00531404"/>
    <w:rsid w:val="005332EC"/>
    <w:rsid w:val="00534418"/>
    <w:rsid w:val="005353AB"/>
    <w:rsid w:val="00535E98"/>
    <w:rsid w:val="005542A6"/>
    <w:rsid w:val="00554F08"/>
    <w:rsid w:val="00555391"/>
    <w:rsid w:val="005560BC"/>
    <w:rsid w:val="00556D58"/>
    <w:rsid w:val="005573BE"/>
    <w:rsid w:val="00561D6A"/>
    <w:rsid w:val="00562633"/>
    <w:rsid w:val="00564B6F"/>
    <w:rsid w:val="00572700"/>
    <w:rsid w:val="005739B0"/>
    <w:rsid w:val="00580468"/>
    <w:rsid w:val="00582231"/>
    <w:rsid w:val="00583F9F"/>
    <w:rsid w:val="0058603B"/>
    <w:rsid w:val="00594229"/>
    <w:rsid w:val="0059431B"/>
    <w:rsid w:val="00597FEE"/>
    <w:rsid w:val="005A38C3"/>
    <w:rsid w:val="005A39CC"/>
    <w:rsid w:val="005A44ED"/>
    <w:rsid w:val="005A5F39"/>
    <w:rsid w:val="005A6055"/>
    <w:rsid w:val="005B0D8F"/>
    <w:rsid w:val="005B4730"/>
    <w:rsid w:val="005C0006"/>
    <w:rsid w:val="005C1119"/>
    <w:rsid w:val="005C6979"/>
    <w:rsid w:val="005C70A1"/>
    <w:rsid w:val="005E05D7"/>
    <w:rsid w:val="005E41E7"/>
    <w:rsid w:val="005E450F"/>
    <w:rsid w:val="005F0AB6"/>
    <w:rsid w:val="005F0C0D"/>
    <w:rsid w:val="005F126D"/>
    <w:rsid w:val="005F3D9B"/>
    <w:rsid w:val="005F43FE"/>
    <w:rsid w:val="005F5FD1"/>
    <w:rsid w:val="005F792C"/>
    <w:rsid w:val="006135BC"/>
    <w:rsid w:val="006161B7"/>
    <w:rsid w:val="00616C55"/>
    <w:rsid w:val="0062298A"/>
    <w:rsid w:val="00622BB8"/>
    <w:rsid w:val="00625C4A"/>
    <w:rsid w:val="00626514"/>
    <w:rsid w:val="00626589"/>
    <w:rsid w:val="00627935"/>
    <w:rsid w:val="00627C9A"/>
    <w:rsid w:val="00630F37"/>
    <w:rsid w:val="00632064"/>
    <w:rsid w:val="006339A0"/>
    <w:rsid w:val="00634A91"/>
    <w:rsid w:val="00637F83"/>
    <w:rsid w:val="00640460"/>
    <w:rsid w:val="006408AC"/>
    <w:rsid w:val="006413A8"/>
    <w:rsid w:val="00641ECC"/>
    <w:rsid w:val="00642E56"/>
    <w:rsid w:val="00644238"/>
    <w:rsid w:val="006447FA"/>
    <w:rsid w:val="00651E00"/>
    <w:rsid w:val="00652235"/>
    <w:rsid w:val="006538D4"/>
    <w:rsid w:val="00655110"/>
    <w:rsid w:val="0066093B"/>
    <w:rsid w:val="00661D25"/>
    <w:rsid w:val="00664480"/>
    <w:rsid w:val="00671C01"/>
    <w:rsid w:val="00674572"/>
    <w:rsid w:val="00687763"/>
    <w:rsid w:val="00692B0D"/>
    <w:rsid w:val="00692E1D"/>
    <w:rsid w:val="00693C78"/>
    <w:rsid w:val="00693E0E"/>
    <w:rsid w:val="00693E60"/>
    <w:rsid w:val="00695BB7"/>
    <w:rsid w:val="006A1AE3"/>
    <w:rsid w:val="006A73C1"/>
    <w:rsid w:val="006B042F"/>
    <w:rsid w:val="006B196C"/>
    <w:rsid w:val="006B37E9"/>
    <w:rsid w:val="006B6062"/>
    <w:rsid w:val="006C30E1"/>
    <w:rsid w:val="006C3DE1"/>
    <w:rsid w:val="006C4607"/>
    <w:rsid w:val="006C6771"/>
    <w:rsid w:val="006D0440"/>
    <w:rsid w:val="006D0922"/>
    <w:rsid w:val="006D2766"/>
    <w:rsid w:val="006D45B8"/>
    <w:rsid w:val="006D48F1"/>
    <w:rsid w:val="006D7E24"/>
    <w:rsid w:val="006E4234"/>
    <w:rsid w:val="006E5AF5"/>
    <w:rsid w:val="006F0E2B"/>
    <w:rsid w:val="006F0F87"/>
    <w:rsid w:val="006F45BE"/>
    <w:rsid w:val="007004FC"/>
    <w:rsid w:val="00706670"/>
    <w:rsid w:val="00710D2A"/>
    <w:rsid w:val="00711F59"/>
    <w:rsid w:val="00715B73"/>
    <w:rsid w:val="0072417C"/>
    <w:rsid w:val="0072546A"/>
    <w:rsid w:val="007319F1"/>
    <w:rsid w:val="00734450"/>
    <w:rsid w:val="00736667"/>
    <w:rsid w:val="00741006"/>
    <w:rsid w:val="007426D8"/>
    <w:rsid w:val="00745F67"/>
    <w:rsid w:val="0075039E"/>
    <w:rsid w:val="00751242"/>
    <w:rsid w:val="00752D9D"/>
    <w:rsid w:val="00754784"/>
    <w:rsid w:val="00757C6E"/>
    <w:rsid w:val="00762BDA"/>
    <w:rsid w:val="00763550"/>
    <w:rsid w:val="00765346"/>
    <w:rsid w:val="007665CF"/>
    <w:rsid w:val="007676EC"/>
    <w:rsid w:val="00770600"/>
    <w:rsid w:val="007736F1"/>
    <w:rsid w:val="00774AE2"/>
    <w:rsid w:val="00776CB3"/>
    <w:rsid w:val="007805FD"/>
    <w:rsid w:val="00782FB7"/>
    <w:rsid w:val="00783474"/>
    <w:rsid w:val="007839BC"/>
    <w:rsid w:val="00784422"/>
    <w:rsid w:val="00785924"/>
    <w:rsid w:val="0079000A"/>
    <w:rsid w:val="00793C37"/>
    <w:rsid w:val="007964D6"/>
    <w:rsid w:val="00796DA2"/>
    <w:rsid w:val="007A2008"/>
    <w:rsid w:val="007A28B9"/>
    <w:rsid w:val="007A3846"/>
    <w:rsid w:val="007A3B2C"/>
    <w:rsid w:val="007A3BCF"/>
    <w:rsid w:val="007A4E59"/>
    <w:rsid w:val="007A5B7B"/>
    <w:rsid w:val="007A66D8"/>
    <w:rsid w:val="007B056C"/>
    <w:rsid w:val="007B3B54"/>
    <w:rsid w:val="007B3FA0"/>
    <w:rsid w:val="007B4BC6"/>
    <w:rsid w:val="007C0644"/>
    <w:rsid w:val="007C0F2C"/>
    <w:rsid w:val="007C2BCC"/>
    <w:rsid w:val="007C35B2"/>
    <w:rsid w:val="007C4EF0"/>
    <w:rsid w:val="007D099D"/>
    <w:rsid w:val="007D6B42"/>
    <w:rsid w:val="007D7BA1"/>
    <w:rsid w:val="007E2664"/>
    <w:rsid w:val="007E3ABF"/>
    <w:rsid w:val="007E44C5"/>
    <w:rsid w:val="007E5BFA"/>
    <w:rsid w:val="007E6689"/>
    <w:rsid w:val="007E731C"/>
    <w:rsid w:val="007F0A03"/>
    <w:rsid w:val="007F2F05"/>
    <w:rsid w:val="007F7EAD"/>
    <w:rsid w:val="00810040"/>
    <w:rsid w:val="00814609"/>
    <w:rsid w:val="00817ED0"/>
    <w:rsid w:val="008201D2"/>
    <w:rsid w:val="0082023A"/>
    <w:rsid w:val="0082048A"/>
    <w:rsid w:val="008216DE"/>
    <w:rsid w:val="00821A7A"/>
    <w:rsid w:val="008253F8"/>
    <w:rsid w:val="00826B74"/>
    <w:rsid w:val="00826C67"/>
    <w:rsid w:val="00826F98"/>
    <w:rsid w:val="008325E4"/>
    <w:rsid w:val="00832A2B"/>
    <w:rsid w:val="00832EAE"/>
    <w:rsid w:val="0083777F"/>
    <w:rsid w:val="00842B02"/>
    <w:rsid w:val="00842B89"/>
    <w:rsid w:val="008433E8"/>
    <w:rsid w:val="00843A2D"/>
    <w:rsid w:val="008454B5"/>
    <w:rsid w:val="00845811"/>
    <w:rsid w:val="00846994"/>
    <w:rsid w:val="00847023"/>
    <w:rsid w:val="00850451"/>
    <w:rsid w:val="00852042"/>
    <w:rsid w:val="008534C9"/>
    <w:rsid w:val="00853633"/>
    <w:rsid w:val="0085599D"/>
    <w:rsid w:val="00855FF4"/>
    <w:rsid w:val="0086218D"/>
    <w:rsid w:val="00873A1D"/>
    <w:rsid w:val="0087510C"/>
    <w:rsid w:val="008809E1"/>
    <w:rsid w:val="00881B32"/>
    <w:rsid w:val="00886A98"/>
    <w:rsid w:val="00890442"/>
    <w:rsid w:val="00890499"/>
    <w:rsid w:val="00893E73"/>
    <w:rsid w:val="00895BE7"/>
    <w:rsid w:val="008968D2"/>
    <w:rsid w:val="0089738E"/>
    <w:rsid w:val="008A7608"/>
    <w:rsid w:val="008B3752"/>
    <w:rsid w:val="008B4465"/>
    <w:rsid w:val="008B5FDB"/>
    <w:rsid w:val="008B6B16"/>
    <w:rsid w:val="008C1CAC"/>
    <w:rsid w:val="008C2F07"/>
    <w:rsid w:val="008C50F4"/>
    <w:rsid w:val="008C5649"/>
    <w:rsid w:val="008D033A"/>
    <w:rsid w:val="008D2EC0"/>
    <w:rsid w:val="008E44A2"/>
    <w:rsid w:val="008E697D"/>
    <w:rsid w:val="008F1A6E"/>
    <w:rsid w:val="008F444F"/>
    <w:rsid w:val="008F6857"/>
    <w:rsid w:val="0090267E"/>
    <w:rsid w:val="00903263"/>
    <w:rsid w:val="009032AB"/>
    <w:rsid w:val="00904019"/>
    <w:rsid w:val="00906460"/>
    <w:rsid w:val="00906A21"/>
    <w:rsid w:val="009079C3"/>
    <w:rsid w:val="00910462"/>
    <w:rsid w:val="00915AB1"/>
    <w:rsid w:val="00917532"/>
    <w:rsid w:val="00917600"/>
    <w:rsid w:val="009202D1"/>
    <w:rsid w:val="00920E7B"/>
    <w:rsid w:val="009235BA"/>
    <w:rsid w:val="00924023"/>
    <w:rsid w:val="00924CE2"/>
    <w:rsid w:val="00925B9F"/>
    <w:rsid w:val="009309EB"/>
    <w:rsid w:val="00930E4A"/>
    <w:rsid w:val="00931AED"/>
    <w:rsid w:val="00941300"/>
    <w:rsid w:val="00945766"/>
    <w:rsid w:val="009476A3"/>
    <w:rsid w:val="00952A14"/>
    <w:rsid w:val="0095334F"/>
    <w:rsid w:val="0095423D"/>
    <w:rsid w:val="00955636"/>
    <w:rsid w:val="009561ED"/>
    <w:rsid w:val="00956C23"/>
    <w:rsid w:val="00956C8B"/>
    <w:rsid w:val="009656DE"/>
    <w:rsid w:val="00965897"/>
    <w:rsid w:val="0096765C"/>
    <w:rsid w:val="00967848"/>
    <w:rsid w:val="009714D2"/>
    <w:rsid w:val="009727E4"/>
    <w:rsid w:val="00977490"/>
    <w:rsid w:val="00981DA6"/>
    <w:rsid w:val="009836EC"/>
    <w:rsid w:val="00983B9F"/>
    <w:rsid w:val="009864BB"/>
    <w:rsid w:val="0098773B"/>
    <w:rsid w:val="00987B16"/>
    <w:rsid w:val="00992E99"/>
    <w:rsid w:val="009934C5"/>
    <w:rsid w:val="00994342"/>
    <w:rsid w:val="009945B8"/>
    <w:rsid w:val="00994C0F"/>
    <w:rsid w:val="00995A51"/>
    <w:rsid w:val="00996436"/>
    <w:rsid w:val="009A0027"/>
    <w:rsid w:val="009A2B81"/>
    <w:rsid w:val="009A33ED"/>
    <w:rsid w:val="009B118C"/>
    <w:rsid w:val="009B22D7"/>
    <w:rsid w:val="009B23A7"/>
    <w:rsid w:val="009B2A92"/>
    <w:rsid w:val="009B4270"/>
    <w:rsid w:val="009B72ED"/>
    <w:rsid w:val="009C30E0"/>
    <w:rsid w:val="009C5659"/>
    <w:rsid w:val="009C6DEB"/>
    <w:rsid w:val="009D27A6"/>
    <w:rsid w:val="009D4EF6"/>
    <w:rsid w:val="009D62BB"/>
    <w:rsid w:val="009D6504"/>
    <w:rsid w:val="009E12D7"/>
    <w:rsid w:val="009E159A"/>
    <w:rsid w:val="009E2428"/>
    <w:rsid w:val="009E242E"/>
    <w:rsid w:val="009E4BD1"/>
    <w:rsid w:val="009E661A"/>
    <w:rsid w:val="009E6C0C"/>
    <w:rsid w:val="009F0513"/>
    <w:rsid w:val="009F1276"/>
    <w:rsid w:val="009F30B3"/>
    <w:rsid w:val="009F5710"/>
    <w:rsid w:val="009F66DB"/>
    <w:rsid w:val="009F7D7D"/>
    <w:rsid w:val="00A01B80"/>
    <w:rsid w:val="00A05E77"/>
    <w:rsid w:val="00A06077"/>
    <w:rsid w:val="00A06781"/>
    <w:rsid w:val="00A074C3"/>
    <w:rsid w:val="00A100ED"/>
    <w:rsid w:val="00A102CE"/>
    <w:rsid w:val="00A1367E"/>
    <w:rsid w:val="00A13837"/>
    <w:rsid w:val="00A13940"/>
    <w:rsid w:val="00A1509C"/>
    <w:rsid w:val="00A238AE"/>
    <w:rsid w:val="00A249B9"/>
    <w:rsid w:val="00A26187"/>
    <w:rsid w:val="00A3180B"/>
    <w:rsid w:val="00A31F77"/>
    <w:rsid w:val="00A34260"/>
    <w:rsid w:val="00A43390"/>
    <w:rsid w:val="00A513CA"/>
    <w:rsid w:val="00A51E31"/>
    <w:rsid w:val="00A523F9"/>
    <w:rsid w:val="00A6048E"/>
    <w:rsid w:val="00A648A4"/>
    <w:rsid w:val="00A64C4A"/>
    <w:rsid w:val="00A65338"/>
    <w:rsid w:val="00A70CFD"/>
    <w:rsid w:val="00A72A0B"/>
    <w:rsid w:val="00A72CAB"/>
    <w:rsid w:val="00A73F73"/>
    <w:rsid w:val="00A74F15"/>
    <w:rsid w:val="00A77110"/>
    <w:rsid w:val="00A77DBB"/>
    <w:rsid w:val="00A77F80"/>
    <w:rsid w:val="00A81217"/>
    <w:rsid w:val="00A8123C"/>
    <w:rsid w:val="00A81E42"/>
    <w:rsid w:val="00A82F8D"/>
    <w:rsid w:val="00A864FE"/>
    <w:rsid w:val="00A86F41"/>
    <w:rsid w:val="00A87418"/>
    <w:rsid w:val="00A8776B"/>
    <w:rsid w:val="00A87D04"/>
    <w:rsid w:val="00A950C5"/>
    <w:rsid w:val="00A95777"/>
    <w:rsid w:val="00AA038E"/>
    <w:rsid w:val="00AA16DE"/>
    <w:rsid w:val="00AA1BF0"/>
    <w:rsid w:val="00AA1D25"/>
    <w:rsid w:val="00AA2D6D"/>
    <w:rsid w:val="00AA3897"/>
    <w:rsid w:val="00AA3C78"/>
    <w:rsid w:val="00AB0ADB"/>
    <w:rsid w:val="00AB2B1A"/>
    <w:rsid w:val="00AB33F5"/>
    <w:rsid w:val="00AB397F"/>
    <w:rsid w:val="00AB5832"/>
    <w:rsid w:val="00AB73B0"/>
    <w:rsid w:val="00AC19C6"/>
    <w:rsid w:val="00AC51F2"/>
    <w:rsid w:val="00AC5DF8"/>
    <w:rsid w:val="00AD104F"/>
    <w:rsid w:val="00AD3269"/>
    <w:rsid w:val="00AD3936"/>
    <w:rsid w:val="00AD64BC"/>
    <w:rsid w:val="00AD6ADA"/>
    <w:rsid w:val="00AE0B4B"/>
    <w:rsid w:val="00AE5066"/>
    <w:rsid w:val="00AE5E24"/>
    <w:rsid w:val="00AE61B7"/>
    <w:rsid w:val="00AE6CBA"/>
    <w:rsid w:val="00AE79AD"/>
    <w:rsid w:val="00AF10B5"/>
    <w:rsid w:val="00AF2549"/>
    <w:rsid w:val="00AF35E4"/>
    <w:rsid w:val="00AF5CDE"/>
    <w:rsid w:val="00AF6A06"/>
    <w:rsid w:val="00AF6A09"/>
    <w:rsid w:val="00B032F8"/>
    <w:rsid w:val="00B104C3"/>
    <w:rsid w:val="00B11A57"/>
    <w:rsid w:val="00B14DE7"/>
    <w:rsid w:val="00B15FB2"/>
    <w:rsid w:val="00B173B7"/>
    <w:rsid w:val="00B211C3"/>
    <w:rsid w:val="00B233A7"/>
    <w:rsid w:val="00B25597"/>
    <w:rsid w:val="00B25658"/>
    <w:rsid w:val="00B267B9"/>
    <w:rsid w:val="00B336A7"/>
    <w:rsid w:val="00B33E09"/>
    <w:rsid w:val="00B40D37"/>
    <w:rsid w:val="00B4248B"/>
    <w:rsid w:val="00B45326"/>
    <w:rsid w:val="00B50708"/>
    <w:rsid w:val="00B50C68"/>
    <w:rsid w:val="00B51293"/>
    <w:rsid w:val="00B52488"/>
    <w:rsid w:val="00B52B1E"/>
    <w:rsid w:val="00B54828"/>
    <w:rsid w:val="00B55481"/>
    <w:rsid w:val="00B56C32"/>
    <w:rsid w:val="00B56D61"/>
    <w:rsid w:val="00B57ACF"/>
    <w:rsid w:val="00B61E4D"/>
    <w:rsid w:val="00B64BB1"/>
    <w:rsid w:val="00B7276F"/>
    <w:rsid w:val="00B73166"/>
    <w:rsid w:val="00B73D56"/>
    <w:rsid w:val="00B82765"/>
    <w:rsid w:val="00B8426C"/>
    <w:rsid w:val="00B84642"/>
    <w:rsid w:val="00B85104"/>
    <w:rsid w:val="00B86462"/>
    <w:rsid w:val="00B9193F"/>
    <w:rsid w:val="00B91B8D"/>
    <w:rsid w:val="00B94E90"/>
    <w:rsid w:val="00B97E33"/>
    <w:rsid w:val="00BA569A"/>
    <w:rsid w:val="00BA64D3"/>
    <w:rsid w:val="00BA7CAD"/>
    <w:rsid w:val="00BB0A82"/>
    <w:rsid w:val="00BB58BB"/>
    <w:rsid w:val="00BB7C94"/>
    <w:rsid w:val="00BC0A9D"/>
    <w:rsid w:val="00BC54D5"/>
    <w:rsid w:val="00BD02BB"/>
    <w:rsid w:val="00BD0F53"/>
    <w:rsid w:val="00BD3D8C"/>
    <w:rsid w:val="00BD494D"/>
    <w:rsid w:val="00BD4D26"/>
    <w:rsid w:val="00BD5A4C"/>
    <w:rsid w:val="00BD7A1F"/>
    <w:rsid w:val="00BE1763"/>
    <w:rsid w:val="00BF40ED"/>
    <w:rsid w:val="00BF5BC2"/>
    <w:rsid w:val="00BF75BE"/>
    <w:rsid w:val="00C10939"/>
    <w:rsid w:val="00C109F4"/>
    <w:rsid w:val="00C10EA6"/>
    <w:rsid w:val="00C1133D"/>
    <w:rsid w:val="00C16414"/>
    <w:rsid w:val="00C16AEA"/>
    <w:rsid w:val="00C1735C"/>
    <w:rsid w:val="00C21D0A"/>
    <w:rsid w:val="00C27A08"/>
    <w:rsid w:val="00C31312"/>
    <w:rsid w:val="00C31693"/>
    <w:rsid w:val="00C31E36"/>
    <w:rsid w:val="00C326C6"/>
    <w:rsid w:val="00C35295"/>
    <w:rsid w:val="00C368D6"/>
    <w:rsid w:val="00C36ADD"/>
    <w:rsid w:val="00C36E74"/>
    <w:rsid w:val="00C40595"/>
    <w:rsid w:val="00C41621"/>
    <w:rsid w:val="00C41B7C"/>
    <w:rsid w:val="00C449FA"/>
    <w:rsid w:val="00C464CE"/>
    <w:rsid w:val="00C5384F"/>
    <w:rsid w:val="00C53D75"/>
    <w:rsid w:val="00C56964"/>
    <w:rsid w:val="00C656D5"/>
    <w:rsid w:val="00C67103"/>
    <w:rsid w:val="00C67E68"/>
    <w:rsid w:val="00C71BB9"/>
    <w:rsid w:val="00C736FB"/>
    <w:rsid w:val="00C7439D"/>
    <w:rsid w:val="00C74DEE"/>
    <w:rsid w:val="00C82A12"/>
    <w:rsid w:val="00C82C72"/>
    <w:rsid w:val="00C846EB"/>
    <w:rsid w:val="00C87CE3"/>
    <w:rsid w:val="00C91077"/>
    <w:rsid w:val="00C945FA"/>
    <w:rsid w:val="00C94C28"/>
    <w:rsid w:val="00C95F30"/>
    <w:rsid w:val="00CA15AA"/>
    <w:rsid w:val="00CA6A2D"/>
    <w:rsid w:val="00CB0247"/>
    <w:rsid w:val="00CB0A64"/>
    <w:rsid w:val="00CB17A0"/>
    <w:rsid w:val="00CB3440"/>
    <w:rsid w:val="00CB3FC2"/>
    <w:rsid w:val="00CB4084"/>
    <w:rsid w:val="00CB52CD"/>
    <w:rsid w:val="00CB616A"/>
    <w:rsid w:val="00CC1692"/>
    <w:rsid w:val="00CC2B96"/>
    <w:rsid w:val="00CC38E8"/>
    <w:rsid w:val="00CC3EC5"/>
    <w:rsid w:val="00CC7AC4"/>
    <w:rsid w:val="00CD138B"/>
    <w:rsid w:val="00CD3E31"/>
    <w:rsid w:val="00CD5D97"/>
    <w:rsid w:val="00CD617D"/>
    <w:rsid w:val="00CD7117"/>
    <w:rsid w:val="00CD74A3"/>
    <w:rsid w:val="00CE0527"/>
    <w:rsid w:val="00CE1DEE"/>
    <w:rsid w:val="00CE27C5"/>
    <w:rsid w:val="00CE30D0"/>
    <w:rsid w:val="00CE5AA9"/>
    <w:rsid w:val="00CE5B23"/>
    <w:rsid w:val="00CF2486"/>
    <w:rsid w:val="00CF573B"/>
    <w:rsid w:val="00CF58A8"/>
    <w:rsid w:val="00CF70AD"/>
    <w:rsid w:val="00CF7729"/>
    <w:rsid w:val="00CF7EEC"/>
    <w:rsid w:val="00D00059"/>
    <w:rsid w:val="00D009CE"/>
    <w:rsid w:val="00D02F34"/>
    <w:rsid w:val="00D0399C"/>
    <w:rsid w:val="00D0487F"/>
    <w:rsid w:val="00D06BC9"/>
    <w:rsid w:val="00D107FA"/>
    <w:rsid w:val="00D11555"/>
    <w:rsid w:val="00D12275"/>
    <w:rsid w:val="00D12766"/>
    <w:rsid w:val="00D12AB6"/>
    <w:rsid w:val="00D20E4E"/>
    <w:rsid w:val="00D20FF4"/>
    <w:rsid w:val="00D212D8"/>
    <w:rsid w:val="00D22B0E"/>
    <w:rsid w:val="00D22D21"/>
    <w:rsid w:val="00D24D2C"/>
    <w:rsid w:val="00D34B3F"/>
    <w:rsid w:val="00D34CBE"/>
    <w:rsid w:val="00D354BE"/>
    <w:rsid w:val="00D35881"/>
    <w:rsid w:val="00D36916"/>
    <w:rsid w:val="00D42CF8"/>
    <w:rsid w:val="00D442BD"/>
    <w:rsid w:val="00D44A23"/>
    <w:rsid w:val="00D4513D"/>
    <w:rsid w:val="00D479AF"/>
    <w:rsid w:val="00D55399"/>
    <w:rsid w:val="00D55859"/>
    <w:rsid w:val="00D62071"/>
    <w:rsid w:val="00D71E21"/>
    <w:rsid w:val="00D73C93"/>
    <w:rsid w:val="00D77B6F"/>
    <w:rsid w:val="00D805F0"/>
    <w:rsid w:val="00D83214"/>
    <w:rsid w:val="00D83E21"/>
    <w:rsid w:val="00D901A0"/>
    <w:rsid w:val="00D920E7"/>
    <w:rsid w:val="00D95461"/>
    <w:rsid w:val="00DA664C"/>
    <w:rsid w:val="00DA78A7"/>
    <w:rsid w:val="00DA7DA5"/>
    <w:rsid w:val="00DB0440"/>
    <w:rsid w:val="00DB073B"/>
    <w:rsid w:val="00DB264F"/>
    <w:rsid w:val="00DB7308"/>
    <w:rsid w:val="00DB78F0"/>
    <w:rsid w:val="00DC0CEA"/>
    <w:rsid w:val="00DC2E43"/>
    <w:rsid w:val="00DC34AC"/>
    <w:rsid w:val="00DC4E5A"/>
    <w:rsid w:val="00DC55A3"/>
    <w:rsid w:val="00DC7F9C"/>
    <w:rsid w:val="00DD095C"/>
    <w:rsid w:val="00DD0A7A"/>
    <w:rsid w:val="00DD1020"/>
    <w:rsid w:val="00DD1330"/>
    <w:rsid w:val="00DD28E0"/>
    <w:rsid w:val="00DD3231"/>
    <w:rsid w:val="00DD3613"/>
    <w:rsid w:val="00DE0B83"/>
    <w:rsid w:val="00DE0D0F"/>
    <w:rsid w:val="00DE1A81"/>
    <w:rsid w:val="00DE1C13"/>
    <w:rsid w:val="00DE2677"/>
    <w:rsid w:val="00DE4D02"/>
    <w:rsid w:val="00DE4E10"/>
    <w:rsid w:val="00DE60E1"/>
    <w:rsid w:val="00DE7083"/>
    <w:rsid w:val="00DE7949"/>
    <w:rsid w:val="00DF2C42"/>
    <w:rsid w:val="00DF2D22"/>
    <w:rsid w:val="00DF4689"/>
    <w:rsid w:val="00DF4A28"/>
    <w:rsid w:val="00DF6797"/>
    <w:rsid w:val="00DF6A1A"/>
    <w:rsid w:val="00DF7678"/>
    <w:rsid w:val="00E02ABF"/>
    <w:rsid w:val="00E0557E"/>
    <w:rsid w:val="00E062C6"/>
    <w:rsid w:val="00E103EF"/>
    <w:rsid w:val="00E14995"/>
    <w:rsid w:val="00E166B0"/>
    <w:rsid w:val="00E179CD"/>
    <w:rsid w:val="00E23250"/>
    <w:rsid w:val="00E232AD"/>
    <w:rsid w:val="00E23E8D"/>
    <w:rsid w:val="00E246E3"/>
    <w:rsid w:val="00E253EB"/>
    <w:rsid w:val="00E30E9F"/>
    <w:rsid w:val="00E311A3"/>
    <w:rsid w:val="00E37F98"/>
    <w:rsid w:val="00E46559"/>
    <w:rsid w:val="00E62175"/>
    <w:rsid w:val="00E6670C"/>
    <w:rsid w:val="00E744B2"/>
    <w:rsid w:val="00E776E8"/>
    <w:rsid w:val="00E80B59"/>
    <w:rsid w:val="00E83AD7"/>
    <w:rsid w:val="00E85539"/>
    <w:rsid w:val="00E92C1F"/>
    <w:rsid w:val="00E93755"/>
    <w:rsid w:val="00E95D4B"/>
    <w:rsid w:val="00EA0D79"/>
    <w:rsid w:val="00EA20DE"/>
    <w:rsid w:val="00EA5176"/>
    <w:rsid w:val="00EA6728"/>
    <w:rsid w:val="00EA76B8"/>
    <w:rsid w:val="00EB0D3C"/>
    <w:rsid w:val="00EB199F"/>
    <w:rsid w:val="00EC0312"/>
    <w:rsid w:val="00EC23F7"/>
    <w:rsid w:val="00EC4BD8"/>
    <w:rsid w:val="00EC63EB"/>
    <w:rsid w:val="00ED152D"/>
    <w:rsid w:val="00ED23A9"/>
    <w:rsid w:val="00ED3684"/>
    <w:rsid w:val="00ED412F"/>
    <w:rsid w:val="00ED5743"/>
    <w:rsid w:val="00EE0240"/>
    <w:rsid w:val="00EE20B3"/>
    <w:rsid w:val="00EE4F00"/>
    <w:rsid w:val="00EF0186"/>
    <w:rsid w:val="00EF0B43"/>
    <w:rsid w:val="00EF0E3C"/>
    <w:rsid w:val="00EF36B2"/>
    <w:rsid w:val="00EF5800"/>
    <w:rsid w:val="00EF77F9"/>
    <w:rsid w:val="00F00FA3"/>
    <w:rsid w:val="00F01B92"/>
    <w:rsid w:val="00F068C5"/>
    <w:rsid w:val="00F1231C"/>
    <w:rsid w:val="00F1246B"/>
    <w:rsid w:val="00F16CC4"/>
    <w:rsid w:val="00F17B35"/>
    <w:rsid w:val="00F201EC"/>
    <w:rsid w:val="00F208A9"/>
    <w:rsid w:val="00F2102F"/>
    <w:rsid w:val="00F22CAF"/>
    <w:rsid w:val="00F23DB4"/>
    <w:rsid w:val="00F314E8"/>
    <w:rsid w:val="00F37796"/>
    <w:rsid w:val="00F37892"/>
    <w:rsid w:val="00F41D75"/>
    <w:rsid w:val="00F47372"/>
    <w:rsid w:val="00F508C7"/>
    <w:rsid w:val="00F5139D"/>
    <w:rsid w:val="00F5498A"/>
    <w:rsid w:val="00F55314"/>
    <w:rsid w:val="00F55977"/>
    <w:rsid w:val="00F5770B"/>
    <w:rsid w:val="00F62F43"/>
    <w:rsid w:val="00F63DAC"/>
    <w:rsid w:val="00F64A42"/>
    <w:rsid w:val="00F66DA3"/>
    <w:rsid w:val="00F71B07"/>
    <w:rsid w:val="00F73DEE"/>
    <w:rsid w:val="00F7454F"/>
    <w:rsid w:val="00F745ED"/>
    <w:rsid w:val="00F74C18"/>
    <w:rsid w:val="00F77511"/>
    <w:rsid w:val="00F77988"/>
    <w:rsid w:val="00F77F48"/>
    <w:rsid w:val="00F81BFC"/>
    <w:rsid w:val="00F82FD3"/>
    <w:rsid w:val="00F846BB"/>
    <w:rsid w:val="00F86A26"/>
    <w:rsid w:val="00F8763C"/>
    <w:rsid w:val="00F92BA9"/>
    <w:rsid w:val="00F95719"/>
    <w:rsid w:val="00F961AE"/>
    <w:rsid w:val="00F96858"/>
    <w:rsid w:val="00FA0FD5"/>
    <w:rsid w:val="00FA3E24"/>
    <w:rsid w:val="00FA6DD0"/>
    <w:rsid w:val="00FB2B33"/>
    <w:rsid w:val="00FB30F1"/>
    <w:rsid w:val="00FB331B"/>
    <w:rsid w:val="00FB37FF"/>
    <w:rsid w:val="00FB3AD8"/>
    <w:rsid w:val="00FB53E7"/>
    <w:rsid w:val="00FB5BAF"/>
    <w:rsid w:val="00FB69DD"/>
    <w:rsid w:val="00FC1A1B"/>
    <w:rsid w:val="00FD2A8A"/>
    <w:rsid w:val="00FD5301"/>
    <w:rsid w:val="00FE2265"/>
    <w:rsid w:val="00FE254C"/>
    <w:rsid w:val="00FE4973"/>
    <w:rsid w:val="00FE4B5F"/>
    <w:rsid w:val="00FE5A2C"/>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FontStyle20">
    <w:name w:val="Font Style20"/>
    <w:uiPriority w:val="99"/>
    <w:rsid w:val="00B233A7"/>
    <w:rPr>
      <w:rFonts w:ascii="Arial" w:hAnsi="Arial" w:cs="Arial"/>
      <w:b/>
      <w:bCs/>
      <w:color w:val="000000"/>
      <w:sz w:val="30"/>
      <w:szCs w:val="30"/>
    </w:rPr>
  </w:style>
  <w:style w:type="paragraph" w:styleId="Revision">
    <w:name w:val="Revision"/>
    <w:hidden/>
    <w:uiPriority w:val="99"/>
    <w:semiHidden/>
    <w:rsid w:val="003D3A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FontStyle20">
    <w:name w:val="Font Style20"/>
    <w:uiPriority w:val="99"/>
    <w:rsid w:val="00B233A7"/>
    <w:rPr>
      <w:rFonts w:ascii="Arial" w:hAnsi="Arial" w:cs="Arial"/>
      <w:b/>
      <w:bCs/>
      <w:color w:val="000000"/>
      <w:sz w:val="30"/>
      <w:szCs w:val="30"/>
    </w:rPr>
  </w:style>
  <w:style w:type="paragraph" w:styleId="Revision">
    <w:name w:val="Revision"/>
    <w:hidden/>
    <w:uiPriority w:val="99"/>
    <w:semiHidden/>
    <w:rsid w:val="003D3A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88982">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56427">
      <w:bodyDiv w:val="1"/>
      <w:marLeft w:val="0"/>
      <w:marRight w:val="0"/>
      <w:marTop w:val="0"/>
      <w:marBottom w:val="0"/>
      <w:divBdr>
        <w:top w:val="none" w:sz="0" w:space="0" w:color="auto"/>
        <w:left w:val="none" w:sz="0" w:space="0" w:color="auto"/>
        <w:bottom w:val="none" w:sz="0" w:space="0" w:color="auto"/>
        <w:right w:val="none" w:sz="0" w:space="0" w:color="auto"/>
      </w:divBdr>
    </w:div>
    <w:div w:id="151121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nga.Avotina@f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D6981172-0622-4945-8522-DC60CFD525A8}">
  <ds:schemaRefs>
    <ds:schemaRef ds:uri="http://schemas.microsoft.com/office/2006/metadata/properties"/>
    <ds:schemaRef ds:uri="http://schemas.microsoft.com/office/infopath/2007/PartnerControls"/>
    <ds:schemaRef ds:uri="2e5bb04e-596e-45bd-9003-43ca78b1ba16"/>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5.xml><?xml version="1.0" encoding="utf-8"?>
<ds:datastoreItem xmlns:ds="http://schemas.openxmlformats.org/officeDocument/2006/customXml" ds:itemID="{58CF03BB-1B6B-4081-B842-F8EE9FC1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5058</Words>
  <Characters>2884</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2007.gada 13.februāra noteikumos Nr.105 „Kārtība, kādā interaktīvo azartspēļu un izložu organizētājs iesniedz paziņojumu par pārskata ceturksni”” sākotnējās ietekmes novērtējuma ziņojums (a</vt:lpstr>
      <vt:lpstr>Likumprojekta „Grozījumi Publiskas personas mantas atsavināšanas likumā” sākotnējās ietekmes novērtējuma ziņojums (anotācija)</vt:lpstr>
    </vt:vector>
  </TitlesOfParts>
  <Company>FM</Company>
  <LinksUpToDate>false</LinksUpToDate>
  <CharactersWithSpaces>7927</CharactersWithSpaces>
  <SharedDoc>false</SharedDoc>
  <HLinks>
    <vt:vector size="6" baseType="variant">
      <vt:variant>
        <vt:i4>8257610</vt:i4>
      </vt:variant>
      <vt:variant>
        <vt:i4>0</vt:i4>
      </vt:variant>
      <vt:variant>
        <vt:i4>0</vt:i4>
      </vt:variant>
      <vt:variant>
        <vt:i4>5</vt:i4>
      </vt:variant>
      <vt:variant>
        <vt:lpwstr>mailto:Inga.Avotina@fm.gov.lv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13.februāra noteikumos Nr.105 „Kārtība, kādā interaktīvo azartspēļu un izložu organizētājs iesniedz paziņojumu par pārskata ceturksni”” sākotnējās ietekmes novērtējuma ziņojums (anotācija)</dc:title>
  <dc:subject>Anotācija</dc:subject>
  <dc:creator>I.Avotiņa</dc:creator>
  <dc:description>Inga.Avotina@fm.gov.lv 67095515</dc:description>
  <cp:lastModifiedBy>Laimdota Adlere</cp:lastModifiedBy>
  <cp:revision>4</cp:revision>
  <cp:lastPrinted>2015-03-20T13:43:00Z</cp:lastPrinted>
  <dcterms:created xsi:type="dcterms:W3CDTF">2015-03-26T07:50:00Z</dcterms:created>
  <dcterms:modified xsi:type="dcterms:W3CDTF">2015-03-26T07:51:00Z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